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10C0" w:rsidRPr="00F47D29" w:rsidRDefault="007C10C0" w:rsidP="00F47D29">
      <w:pPr>
        <w:spacing w:after="0" w:line="480" w:lineRule="auto"/>
        <w:rPr>
          <w:rFonts w:ascii="Times New Roman" w:hAnsi="Times New Roman" w:cs="Times New Roman"/>
          <w:sz w:val="24"/>
          <w:szCs w:val="24"/>
        </w:rPr>
      </w:pPr>
      <w:bookmarkStart w:id="0" w:name="_GoBack"/>
    </w:p>
    <w:p w:rsidR="007C10C0" w:rsidRPr="00F47D29" w:rsidRDefault="007C10C0" w:rsidP="00F47D29">
      <w:pPr>
        <w:spacing w:after="0" w:line="480" w:lineRule="auto"/>
        <w:rPr>
          <w:rFonts w:ascii="Times New Roman" w:hAnsi="Times New Roman" w:cs="Times New Roman"/>
          <w:sz w:val="24"/>
          <w:szCs w:val="24"/>
        </w:rPr>
      </w:pPr>
    </w:p>
    <w:p w:rsidR="007C10C0" w:rsidRPr="00F47D29" w:rsidRDefault="000604FC" w:rsidP="00F47D29">
      <w:pPr>
        <w:tabs>
          <w:tab w:val="left" w:pos="5544"/>
        </w:tabs>
        <w:spacing w:after="0" w:line="480" w:lineRule="auto"/>
        <w:rPr>
          <w:rFonts w:ascii="Times New Roman" w:hAnsi="Times New Roman" w:cs="Times New Roman"/>
          <w:sz w:val="24"/>
          <w:szCs w:val="24"/>
        </w:rPr>
      </w:pPr>
      <w:r w:rsidRPr="00F47D29">
        <w:rPr>
          <w:rFonts w:ascii="Times New Roman" w:hAnsi="Times New Roman" w:cs="Times New Roman"/>
          <w:sz w:val="24"/>
          <w:szCs w:val="24"/>
        </w:rPr>
        <w:tab/>
      </w:r>
    </w:p>
    <w:p w:rsidR="007F406F" w:rsidRPr="00F47D29" w:rsidRDefault="007F406F" w:rsidP="00F47D29">
      <w:pPr>
        <w:spacing w:after="0" w:line="480" w:lineRule="auto"/>
        <w:jc w:val="center"/>
        <w:rPr>
          <w:rFonts w:ascii="Times New Roman" w:hAnsi="Times New Roman" w:cs="Times New Roman"/>
          <w:b/>
          <w:sz w:val="24"/>
          <w:szCs w:val="24"/>
        </w:rPr>
      </w:pPr>
    </w:p>
    <w:p w:rsidR="007F406F" w:rsidRPr="00F47D29" w:rsidRDefault="007F406F" w:rsidP="00F47D29">
      <w:pPr>
        <w:spacing w:after="0" w:line="480" w:lineRule="auto"/>
        <w:jc w:val="center"/>
        <w:rPr>
          <w:rFonts w:ascii="Times New Roman" w:hAnsi="Times New Roman" w:cs="Times New Roman"/>
          <w:b/>
          <w:sz w:val="24"/>
          <w:szCs w:val="24"/>
        </w:rPr>
      </w:pPr>
    </w:p>
    <w:p w:rsidR="007F406F" w:rsidRPr="00F47D29" w:rsidRDefault="007F406F" w:rsidP="00F47D29">
      <w:pPr>
        <w:spacing w:after="0" w:line="480" w:lineRule="auto"/>
        <w:jc w:val="center"/>
        <w:rPr>
          <w:rFonts w:ascii="Times New Roman" w:hAnsi="Times New Roman" w:cs="Times New Roman"/>
          <w:b/>
          <w:sz w:val="24"/>
          <w:szCs w:val="24"/>
        </w:rPr>
      </w:pPr>
    </w:p>
    <w:p w:rsidR="007C10C0" w:rsidRPr="00F47D29" w:rsidRDefault="007F406F" w:rsidP="00F47D29">
      <w:pPr>
        <w:spacing w:after="0" w:line="480" w:lineRule="auto"/>
        <w:jc w:val="center"/>
        <w:rPr>
          <w:rFonts w:ascii="Times New Roman" w:hAnsi="Times New Roman" w:cs="Times New Roman"/>
          <w:sz w:val="24"/>
          <w:szCs w:val="24"/>
        </w:rPr>
      </w:pPr>
      <w:r w:rsidRPr="00F47D29">
        <w:rPr>
          <w:rFonts w:ascii="Times New Roman" w:hAnsi="Times New Roman" w:cs="Times New Roman"/>
          <w:sz w:val="24"/>
          <w:szCs w:val="24"/>
        </w:rPr>
        <w:t>Case Analysis: Brinker International</w:t>
      </w:r>
      <w:r w:rsidR="00AA44B6" w:rsidRPr="00F47D29">
        <w:rPr>
          <w:rFonts w:ascii="Times New Roman" w:hAnsi="Times New Roman" w:cs="Times New Roman"/>
          <w:sz w:val="24"/>
          <w:szCs w:val="24"/>
        </w:rPr>
        <w:t xml:space="preserve"> Annual Report 2020</w:t>
      </w:r>
    </w:p>
    <w:p w:rsidR="007C10C0" w:rsidRPr="00F47D29" w:rsidRDefault="000604FC" w:rsidP="00F47D29">
      <w:pPr>
        <w:spacing w:after="0" w:line="480" w:lineRule="auto"/>
        <w:jc w:val="center"/>
        <w:rPr>
          <w:rFonts w:ascii="Times New Roman" w:hAnsi="Times New Roman" w:cs="Times New Roman"/>
          <w:sz w:val="24"/>
          <w:szCs w:val="24"/>
        </w:rPr>
      </w:pPr>
      <w:r w:rsidRPr="00F47D29">
        <w:rPr>
          <w:rFonts w:ascii="Times New Roman" w:hAnsi="Times New Roman" w:cs="Times New Roman"/>
          <w:sz w:val="24"/>
          <w:szCs w:val="24"/>
        </w:rPr>
        <w:t>Student’s Name</w:t>
      </w:r>
    </w:p>
    <w:p w:rsidR="007C10C0" w:rsidRPr="00F47D29" w:rsidRDefault="000604FC" w:rsidP="00F47D29">
      <w:pPr>
        <w:spacing w:after="0" w:line="480" w:lineRule="auto"/>
        <w:jc w:val="center"/>
        <w:rPr>
          <w:rFonts w:ascii="Times New Roman" w:hAnsi="Times New Roman" w:cs="Times New Roman"/>
          <w:sz w:val="24"/>
          <w:szCs w:val="24"/>
        </w:rPr>
      </w:pPr>
      <w:r w:rsidRPr="00F47D29">
        <w:rPr>
          <w:rFonts w:ascii="Times New Roman" w:hAnsi="Times New Roman" w:cs="Times New Roman"/>
          <w:sz w:val="24"/>
          <w:szCs w:val="24"/>
        </w:rPr>
        <w:t>Institutional Affiliation</w:t>
      </w:r>
    </w:p>
    <w:p w:rsidR="007C10C0" w:rsidRPr="00F47D29" w:rsidRDefault="000604FC" w:rsidP="00F47D29">
      <w:pPr>
        <w:spacing w:after="0" w:line="480" w:lineRule="auto"/>
        <w:jc w:val="center"/>
        <w:rPr>
          <w:rFonts w:ascii="Times New Roman" w:hAnsi="Times New Roman" w:cs="Times New Roman"/>
          <w:sz w:val="24"/>
          <w:szCs w:val="24"/>
        </w:rPr>
      </w:pPr>
      <w:r w:rsidRPr="00F47D29">
        <w:rPr>
          <w:rFonts w:ascii="Times New Roman" w:hAnsi="Times New Roman" w:cs="Times New Roman"/>
          <w:sz w:val="24"/>
          <w:szCs w:val="24"/>
        </w:rPr>
        <w:t>Course</w:t>
      </w:r>
    </w:p>
    <w:p w:rsidR="007C10C0" w:rsidRPr="00F47D29" w:rsidRDefault="000604FC" w:rsidP="00F47D29">
      <w:pPr>
        <w:spacing w:after="0" w:line="480" w:lineRule="auto"/>
        <w:jc w:val="center"/>
        <w:rPr>
          <w:rFonts w:ascii="Times New Roman" w:hAnsi="Times New Roman" w:cs="Times New Roman"/>
          <w:sz w:val="24"/>
          <w:szCs w:val="24"/>
        </w:rPr>
      </w:pPr>
      <w:r w:rsidRPr="00F47D29">
        <w:rPr>
          <w:rFonts w:ascii="Times New Roman" w:hAnsi="Times New Roman" w:cs="Times New Roman"/>
          <w:sz w:val="24"/>
          <w:szCs w:val="24"/>
        </w:rPr>
        <w:t>Professor’s Name</w:t>
      </w:r>
    </w:p>
    <w:p w:rsidR="007C10C0" w:rsidRPr="00F47D29" w:rsidRDefault="000604FC" w:rsidP="00F47D29">
      <w:pPr>
        <w:spacing w:after="0" w:line="480" w:lineRule="auto"/>
        <w:jc w:val="center"/>
        <w:rPr>
          <w:rFonts w:ascii="Times New Roman" w:hAnsi="Times New Roman" w:cs="Times New Roman"/>
          <w:sz w:val="24"/>
          <w:szCs w:val="24"/>
        </w:rPr>
      </w:pPr>
      <w:r w:rsidRPr="00F47D29">
        <w:rPr>
          <w:rFonts w:ascii="Times New Roman" w:hAnsi="Times New Roman" w:cs="Times New Roman"/>
          <w:sz w:val="24"/>
          <w:szCs w:val="24"/>
        </w:rPr>
        <w:t>Date</w:t>
      </w:r>
    </w:p>
    <w:p w:rsidR="007C10C0" w:rsidRPr="00F47D29" w:rsidRDefault="007C10C0" w:rsidP="00F47D29">
      <w:pPr>
        <w:spacing w:after="0" w:line="480" w:lineRule="auto"/>
        <w:rPr>
          <w:rFonts w:ascii="Times New Roman" w:hAnsi="Times New Roman" w:cs="Times New Roman"/>
          <w:sz w:val="24"/>
          <w:szCs w:val="24"/>
        </w:rPr>
      </w:pPr>
    </w:p>
    <w:p w:rsidR="007C10C0" w:rsidRPr="00F47D29" w:rsidRDefault="007C10C0" w:rsidP="00F47D29">
      <w:pPr>
        <w:spacing w:after="0" w:line="480" w:lineRule="auto"/>
        <w:rPr>
          <w:rFonts w:ascii="Times New Roman" w:hAnsi="Times New Roman" w:cs="Times New Roman"/>
          <w:sz w:val="24"/>
          <w:szCs w:val="24"/>
        </w:rPr>
      </w:pPr>
    </w:p>
    <w:p w:rsidR="007C10C0" w:rsidRPr="00F47D29" w:rsidRDefault="007C10C0" w:rsidP="00F47D29">
      <w:pPr>
        <w:spacing w:after="0" w:line="480" w:lineRule="auto"/>
        <w:rPr>
          <w:rFonts w:ascii="Times New Roman" w:hAnsi="Times New Roman" w:cs="Times New Roman"/>
          <w:sz w:val="24"/>
          <w:szCs w:val="24"/>
        </w:rPr>
      </w:pPr>
    </w:p>
    <w:p w:rsidR="007C10C0" w:rsidRPr="00F47D29" w:rsidRDefault="007C10C0" w:rsidP="00F47D29">
      <w:pPr>
        <w:spacing w:after="0" w:line="480" w:lineRule="auto"/>
        <w:rPr>
          <w:rFonts w:ascii="Times New Roman" w:hAnsi="Times New Roman" w:cs="Times New Roman"/>
          <w:sz w:val="24"/>
          <w:szCs w:val="24"/>
        </w:rPr>
      </w:pPr>
    </w:p>
    <w:p w:rsidR="007C10C0" w:rsidRPr="00F47D29" w:rsidRDefault="007C10C0" w:rsidP="00F47D29">
      <w:pPr>
        <w:spacing w:after="0" w:line="480" w:lineRule="auto"/>
        <w:rPr>
          <w:rFonts w:ascii="Times New Roman" w:hAnsi="Times New Roman" w:cs="Times New Roman"/>
          <w:sz w:val="24"/>
          <w:szCs w:val="24"/>
        </w:rPr>
      </w:pPr>
    </w:p>
    <w:p w:rsidR="007C10C0" w:rsidRPr="00F47D29" w:rsidRDefault="007C10C0" w:rsidP="00F47D29">
      <w:pPr>
        <w:spacing w:after="0" w:line="480" w:lineRule="auto"/>
        <w:rPr>
          <w:rFonts w:ascii="Times New Roman" w:hAnsi="Times New Roman" w:cs="Times New Roman"/>
          <w:sz w:val="24"/>
          <w:szCs w:val="24"/>
        </w:rPr>
      </w:pPr>
    </w:p>
    <w:p w:rsidR="007C10C0" w:rsidRPr="00F47D29" w:rsidRDefault="007C10C0" w:rsidP="00F47D29">
      <w:pPr>
        <w:spacing w:after="0" w:line="480" w:lineRule="auto"/>
        <w:rPr>
          <w:rFonts w:ascii="Times New Roman" w:hAnsi="Times New Roman" w:cs="Times New Roman"/>
          <w:sz w:val="24"/>
          <w:szCs w:val="24"/>
        </w:rPr>
      </w:pPr>
    </w:p>
    <w:p w:rsidR="007C10C0" w:rsidRPr="00F47D29" w:rsidRDefault="007C10C0" w:rsidP="00F47D29">
      <w:pPr>
        <w:spacing w:after="0" w:line="480" w:lineRule="auto"/>
        <w:rPr>
          <w:rFonts w:ascii="Times New Roman" w:hAnsi="Times New Roman" w:cs="Times New Roman"/>
          <w:sz w:val="24"/>
          <w:szCs w:val="24"/>
        </w:rPr>
      </w:pPr>
    </w:p>
    <w:p w:rsidR="007C10C0" w:rsidRPr="00F47D29" w:rsidRDefault="007C10C0" w:rsidP="00F47D29">
      <w:pPr>
        <w:spacing w:after="0" w:line="480" w:lineRule="auto"/>
        <w:rPr>
          <w:rFonts w:ascii="Times New Roman" w:hAnsi="Times New Roman" w:cs="Times New Roman"/>
          <w:sz w:val="24"/>
          <w:szCs w:val="24"/>
        </w:rPr>
      </w:pPr>
    </w:p>
    <w:p w:rsidR="007F406F" w:rsidRPr="00F47D29" w:rsidRDefault="007F406F" w:rsidP="00F47D29">
      <w:pPr>
        <w:spacing w:after="0" w:line="480" w:lineRule="auto"/>
        <w:jc w:val="center"/>
        <w:rPr>
          <w:rFonts w:ascii="Times New Roman" w:hAnsi="Times New Roman" w:cs="Times New Roman"/>
          <w:sz w:val="24"/>
          <w:szCs w:val="24"/>
        </w:rPr>
      </w:pPr>
    </w:p>
    <w:p w:rsidR="007F406F" w:rsidRPr="00F47D29" w:rsidRDefault="007F406F" w:rsidP="00F47D29">
      <w:pPr>
        <w:spacing w:after="0" w:line="480" w:lineRule="auto"/>
        <w:jc w:val="center"/>
        <w:rPr>
          <w:rFonts w:ascii="Times New Roman" w:hAnsi="Times New Roman" w:cs="Times New Roman"/>
          <w:sz w:val="24"/>
          <w:szCs w:val="24"/>
        </w:rPr>
      </w:pPr>
    </w:p>
    <w:p w:rsidR="007F406F" w:rsidRPr="00F47D29" w:rsidRDefault="007F406F" w:rsidP="00F47D29">
      <w:pPr>
        <w:spacing w:after="0" w:line="480" w:lineRule="auto"/>
        <w:jc w:val="center"/>
        <w:rPr>
          <w:rFonts w:ascii="Times New Roman" w:hAnsi="Times New Roman" w:cs="Times New Roman"/>
          <w:sz w:val="24"/>
          <w:szCs w:val="24"/>
        </w:rPr>
      </w:pPr>
      <w:r w:rsidRPr="00F47D29">
        <w:rPr>
          <w:rFonts w:ascii="Times New Roman" w:hAnsi="Times New Roman" w:cs="Times New Roman"/>
          <w:sz w:val="24"/>
          <w:szCs w:val="24"/>
        </w:rPr>
        <w:lastRenderedPageBreak/>
        <w:t>Case Analysis: Brinker International</w:t>
      </w:r>
      <w:r w:rsidR="00AA44B6" w:rsidRPr="00F47D29">
        <w:rPr>
          <w:rFonts w:ascii="Times New Roman" w:hAnsi="Times New Roman" w:cs="Times New Roman"/>
          <w:sz w:val="24"/>
          <w:szCs w:val="24"/>
        </w:rPr>
        <w:t xml:space="preserve"> Annual Report 2020 </w:t>
      </w:r>
    </w:p>
    <w:p w:rsidR="000B58C2" w:rsidRPr="00F47D29" w:rsidRDefault="000B58C2" w:rsidP="00F47D29">
      <w:pPr>
        <w:widowControl w:val="0"/>
        <w:autoSpaceDE w:val="0"/>
        <w:autoSpaceDN w:val="0"/>
        <w:adjustRightInd w:val="0"/>
        <w:spacing w:after="0" w:line="480" w:lineRule="auto"/>
        <w:jc w:val="center"/>
        <w:rPr>
          <w:rFonts w:ascii="Times New Roman" w:eastAsia="MinionPro-Regular" w:hAnsi="Times New Roman" w:cs="Times New Roman"/>
          <w:b/>
          <w:sz w:val="24"/>
          <w:szCs w:val="24"/>
          <w:lang w:eastAsia="zh-CN"/>
        </w:rPr>
      </w:pPr>
      <w:r w:rsidRPr="00F47D29">
        <w:rPr>
          <w:rFonts w:ascii="Times New Roman" w:eastAsia="MinionPro-Regular" w:hAnsi="Times New Roman" w:cs="Times New Roman"/>
          <w:sz w:val="24"/>
          <w:szCs w:val="24"/>
          <w:lang w:eastAsia="zh-CN"/>
        </w:rPr>
        <w:t xml:space="preserve">b. </w:t>
      </w:r>
      <w:r w:rsidRPr="00F47D29">
        <w:rPr>
          <w:rFonts w:ascii="Times New Roman" w:eastAsia="MinionPro-Regular" w:hAnsi="Times New Roman" w:cs="Times New Roman"/>
          <w:b/>
          <w:sz w:val="24"/>
          <w:szCs w:val="24"/>
          <w:lang w:eastAsia="zh-CN"/>
        </w:rPr>
        <w:t>Calculate the projected profit margin, operating profit margin, basic earning power</w:t>
      </w:r>
    </w:p>
    <w:p w:rsidR="000B58C2" w:rsidRPr="00F47D29" w:rsidRDefault="000B58C2" w:rsidP="00F47D29">
      <w:pPr>
        <w:widowControl w:val="0"/>
        <w:autoSpaceDE w:val="0"/>
        <w:autoSpaceDN w:val="0"/>
        <w:adjustRightInd w:val="0"/>
        <w:spacing w:after="0" w:line="480" w:lineRule="auto"/>
        <w:jc w:val="center"/>
        <w:rPr>
          <w:rFonts w:ascii="Times New Roman" w:eastAsia="MinionPro-Regular" w:hAnsi="Times New Roman" w:cs="Times New Roman"/>
          <w:b/>
          <w:sz w:val="24"/>
          <w:szCs w:val="24"/>
          <w:lang w:eastAsia="zh-CN"/>
        </w:rPr>
      </w:pPr>
      <w:r w:rsidRPr="00F47D29">
        <w:rPr>
          <w:rFonts w:ascii="Times New Roman" w:eastAsia="MinionPro-Regular" w:hAnsi="Times New Roman" w:cs="Times New Roman"/>
          <w:b/>
          <w:sz w:val="24"/>
          <w:szCs w:val="24"/>
          <w:lang w:eastAsia="zh-CN"/>
        </w:rPr>
        <w:t>(BEP), return on assets (ROA), and return on equit</w:t>
      </w:r>
      <w:r w:rsidR="00F47D29">
        <w:rPr>
          <w:rFonts w:ascii="Times New Roman" w:eastAsia="MinionPro-Regular" w:hAnsi="Times New Roman" w:cs="Times New Roman"/>
          <w:b/>
          <w:sz w:val="24"/>
          <w:szCs w:val="24"/>
          <w:lang w:eastAsia="zh-CN"/>
        </w:rPr>
        <w:t xml:space="preserve">y (ROE). What can you say about </w:t>
      </w:r>
      <w:r w:rsidRPr="00F47D29">
        <w:rPr>
          <w:rFonts w:ascii="Times New Roman" w:eastAsia="MinionPro-Regular" w:hAnsi="Times New Roman" w:cs="Times New Roman"/>
          <w:b/>
          <w:sz w:val="24"/>
          <w:szCs w:val="24"/>
          <w:lang w:eastAsia="zh-CN"/>
        </w:rPr>
        <w:t>these ratios?</w:t>
      </w:r>
    </w:p>
    <w:p w:rsidR="000B58C2" w:rsidRDefault="000B58C2" w:rsidP="00F47D29">
      <w:pPr>
        <w:widowControl w:val="0"/>
        <w:autoSpaceDE w:val="0"/>
        <w:autoSpaceDN w:val="0"/>
        <w:adjustRightInd w:val="0"/>
        <w:spacing w:after="0" w:line="480" w:lineRule="auto"/>
        <w:rPr>
          <w:rFonts w:ascii="Times New Roman" w:eastAsia="MinionPro-Regular" w:hAnsi="Times New Roman" w:cs="Times New Roman"/>
          <w:b/>
          <w:sz w:val="24"/>
          <w:szCs w:val="24"/>
          <w:lang w:eastAsia="zh-CN"/>
        </w:rPr>
      </w:pPr>
      <w:r w:rsidRPr="00F47D29">
        <w:rPr>
          <w:rFonts w:ascii="Times New Roman" w:eastAsia="MinionPro-Regular" w:hAnsi="Times New Roman" w:cs="Times New Roman"/>
          <w:b/>
          <w:sz w:val="24"/>
          <w:szCs w:val="24"/>
          <w:lang w:eastAsia="zh-CN"/>
        </w:rPr>
        <w:t xml:space="preserve">Profit margin </w:t>
      </w:r>
    </w:p>
    <w:p w:rsidR="00C240E3" w:rsidRPr="00C240E3" w:rsidRDefault="00C240E3" w:rsidP="00326EF3">
      <w:pPr>
        <w:widowControl w:val="0"/>
        <w:autoSpaceDE w:val="0"/>
        <w:autoSpaceDN w:val="0"/>
        <w:adjustRightInd w:val="0"/>
        <w:spacing w:after="0" w:line="480" w:lineRule="auto"/>
        <w:ind w:firstLine="720"/>
        <w:rPr>
          <w:rFonts w:ascii="Times New Roman" w:eastAsia="MinionPro-Regular" w:hAnsi="Times New Roman" w:cs="Times New Roman"/>
          <w:sz w:val="24"/>
          <w:szCs w:val="24"/>
          <w:lang w:eastAsia="zh-CN"/>
        </w:rPr>
      </w:pPr>
      <w:r w:rsidRPr="00C240E3">
        <w:rPr>
          <w:rFonts w:ascii="Times New Roman" w:eastAsia="MinionPro-Regular" w:hAnsi="Times New Roman" w:cs="Times New Roman"/>
          <w:sz w:val="24"/>
          <w:szCs w:val="24"/>
          <w:lang w:eastAsia="zh-CN"/>
        </w:rPr>
        <w:t>Profit margin a financial metric of the net income of a company divided by its revenue or sales</w:t>
      </w:r>
      <w:sdt>
        <w:sdtPr>
          <w:rPr>
            <w:rFonts w:ascii="Times New Roman" w:eastAsia="MinionPro-Regular" w:hAnsi="Times New Roman" w:cs="Times New Roman"/>
            <w:sz w:val="24"/>
            <w:szCs w:val="24"/>
            <w:lang w:eastAsia="zh-CN"/>
          </w:rPr>
          <w:id w:val="-1491018039"/>
          <w:citation/>
        </w:sdtPr>
        <w:sdtContent>
          <w:r w:rsidR="004913E8">
            <w:rPr>
              <w:rFonts w:ascii="Times New Roman" w:eastAsia="MinionPro-Regular" w:hAnsi="Times New Roman" w:cs="Times New Roman"/>
              <w:sz w:val="24"/>
              <w:szCs w:val="24"/>
              <w:lang w:eastAsia="zh-CN"/>
            </w:rPr>
            <w:fldChar w:fldCharType="begin"/>
          </w:r>
          <w:r w:rsidR="004913E8">
            <w:rPr>
              <w:rFonts w:ascii="Times New Roman" w:eastAsia="MinionPro-Regular" w:hAnsi="Times New Roman" w:cs="Times New Roman"/>
              <w:sz w:val="24"/>
              <w:szCs w:val="24"/>
              <w:lang w:eastAsia="zh-CN"/>
            </w:rPr>
            <w:instrText xml:space="preserve"> CITATION Bor14 \l 1033 </w:instrText>
          </w:r>
          <w:r w:rsidR="004913E8">
            <w:rPr>
              <w:rFonts w:ascii="Times New Roman" w:eastAsia="MinionPro-Regular" w:hAnsi="Times New Roman" w:cs="Times New Roman"/>
              <w:sz w:val="24"/>
              <w:szCs w:val="24"/>
              <w:lang w:eastAsia="zh-CN"/>
            </w:rPr>
            <w:fldChar w:fldCharType="separate"/>
          </w:r>
          <w:r w:rsidR="004913E8">
            <w:rPr>
              <w:rFonts w:ascii="Times New Roman" w:eastAsia="MinionPro-Regular" w:hAnsi="Times New Roman" w:cs="Times New Roman"/>
              <w:noProof/>
              <w:sz w:val="24"/>
              <w:szCs w:val="24"/>
              <w:lang w:eastAsia="zh-CN"/>
            </w:rPr>
            <w:t xml:space="preserve"> </w:t>
          </w:r>
          <w:r w:rsidR="004913E8" w:rsidRPr="004913E8">
            <w:rPr>
              <w:rFonts w:ascii="Times New Roman" w:eastAsia="MinionPro-Regular" w:hAnsi="Times New Roman" w:cs="Times New Roman"/>
              <w:noProof/>
              <w:sz w:val="24"/>
              <w:szCs w:val="24"/>
              <w:lang w:eastAsia="zh-CN"/>
            </w:rPr>
            <w:t>(Borhan, Mohamed, &amp; Azmi, 2014)</w:t>
          </w:r>
          <w:r w:rsidR="004913E8">
            <w:rPr>
              <w:rFonts w:ascii="Times New Roman" w:eastAsia="MinionPro-Regular" w:hAnsi="Times New Roman" w:cs="Times New Roman"/>
              <w:sz w:val="24"/>
              <w:szCs w:val="24"/>
              <w:lang w:eastAsia="zh-CN"/>
            </w:rPr>
            <w:fldChar w:fldCharType="end"/>
          </w:r>
        </w:sdtContent>
      </w:sdt>
      <w:r w:rsidRPr="00C240E3">
        <w:rPr>
          <w:rFonts w:ascii="Times New Roman" w:eastAsia="MinionPro-Regular" w:hAnsi="Times New Roman" w:cs="Times New Roman"/>
          <w:sz w:val="24"/>
          <w:szCs w:val="24"/>
          <w:lang w:eastAsia="zh-CN"/>
        </w:rPr>
        <w:t>.</w:t>
      </w:r>
    </w:p>
    <w:p w:rsidR="00C240E3" w:rsidRDefault="00C240E3" w:rsidP="00F47D29">
      <w:pPr>
        <w:widowControl w:val="0"/>
        <w:autoSpaceDE w:val="0"/>
        <w:autoSpaceDN w:val="0"/>
        <w:adjustRightInd w:val="0"/>
        <w:spacing w:after="0" w:line="480" w:lineRule="auto"/>
        <w:rPr>
          <w:rFonts w:ascii="Times New Roman" w:eastAsia="MinionPro-Regular" w:hAnsi="Times New Roman" w:cs="Times New Roman"/>
          <w:sz w:val="24"/>
          <w:szCs w:val="24"/>
          <w:lang w:eastAsia="zh-CN"/>
        </w:rPr>
      </w:pPr>
      <w:r w:rsidRPr="00C240E3">
        <w:rPr>
          <w:rFonts w:ascii="Times New Roman" w:eastAsia="MinionPro-Regular" w:hAnsi="Times New Roman" w:cs="Times New Roman"/>
          <w:sz w:val="24"/>
          <w:szCs w:val="24"/>
          <w:lang w:eastAsia="zh-CN"/>
        </w:rPr>
        <w:t>Profit margin=</w:t>
      </w:r>
      <m:oMath>
        <m:f>
          <m:fPr>
            <m:ctrlPr>
              <w:rPr>
                <w:rFonts w:ascii="Cambria Math" w:eastAsia="MinionPro-Regular" w:hAnsi="Cambria Math" w:cs="Times New Roman"/>
                <w:i/>
                <w:sz w:val="24"/>
                <w:szCs w:val="24"/>
                <w:lang w:eastAsia="zh-CN"/>
              </w:rPr>
            </m:ctrlPr>
          </m:fPr>
          <m:num>
            <m:r>
              <w:rPr>
                <w:rFonts w:ascii="Cambria Math" w:eastAsia="MinionPro-Regular" w:hAnsi="Cambria Math" w:cs="Times New Roman"/>
                <w:sz w:val="24"/>
                <w:szCs w:val="24"/>
                <w:lang w:eastAsia="zh-CN"/>
              </w:rPr>
              <m:t>Net Income</m:t>
            </m:r>
          </m:num>
          <m:den>
            <m:r>
              <w:rPr>
                <w:rFonts w:ascii="Cambria Math" w:eastAsia="MinionPro-Regular" w:hAnsi="Cambria Math" w:cs="Times New Roman"/>
                <w:sz w:val="24"/>
                <w:szCs w:val="24"/>
                <w:lang w:eastAsia="zh-CN"/>
              </w:rPr>
              <m:t>Revenue</m:t>
            </m:r>
          </m:den>
        </m:f>
      </m:oMath>
    </w:p>
    <w:p w:rsidR="00C240E3" w:rsidRDefault="00C240E3" w:rsidP="00F47D29">
      <w:pPr>
        <w:widowControl w:val="0"/>
        <w:autoSpaceDE w:val="0"/>
        <w:autoSpaceDN w:val="0"/>
        <w:adjustRightInd w:val="0"/>
        <w:spacing w:after="0" w:line="480" w:lineRule="auto"/>
        <w:rPr>
          <w:rFonts w:ascii="Times New Roman" w:eastAsia="MinionPro-Regular" w:hAnsi="Times New Roman" w:cs="Times New Roman"/>
          <w:sz w:val="24"/>
          <w:szCs w:val="24"/>
          <w:lang w:eastAsia="zh-CN"/>
        </w:rPr>
      </w:pPr>
      <w:r>
        <w:rPr>
          <w:rFonts w:ascii="Times New Roman" w:eastAsia="MinionPro-Regular" w:hAnsi="Times New Roman" w:cs="Times New Roman"/>
          <w:sz w:val="24"/>
          <w:szCs w:val="24"/>
          <w:lang w:eastAsia="zh-CN"/>
        </w:rPr>
        <w:t>Brinker International’s profit margin for the financial year ended 2020 June is determined as:</w:t>
      </w:r>
    </w:p>
    <w:p w:rsidR="00C240E3" w:rsidRDefault="00C240E3" w:rsidP="00F47D29">
      <w:pPr>
        <w:widowControl w:val="0"/>
        <w:autoSpaceDE w:val="0"/>
        <w:autoSpaceDN w:val="0"/>
        <w:adjustRightInd w:val="0"/>
        <w:spacing w:after="0" w:line="480" w:lineRule="auto"/>
        <w:rPr>
          <w:rFonts w:ascii="Times New Roman" w:eastAsia="MinionPro-Regular" w:hAnsi="Times New Roman" w:cs="Times New Roman"/>
          <w:sz w:val="24"/>
          <w:szCs w:val="24"/>
          <w:lang w:eastAsia="zh-CN"/>
        </w:rPr>
      </w:pPr>
      <w:r>
        <w:rPr>
          <w:rFonts w:ascii="Times New Roman" w:eastAsia="MinionPro-Regular" w:hAnsi="Times New Roman" w:cs="Times New Roman"/>
          <w:sz w:val="24"/>
          <w:szCs w:val="24"/>
          <w:lang w:eastAsia="zh-CN"/>
        </w:rPr>
        <w:t xml:space="preserve">Profit margin </w:t>
      </w:r>
      <m:oMath>
        <m:f>
          <m:fPr>
            <m:ctrlPr>
              <w:rPr>
                <w:rFonts w:ascii="Cambria Math" w:eastAsia="MinionPro-Regular" w:hAnsi="Cambria Math" w:cs="Times New Roman"/>
                <w:i/>
                <w:sz w:val="24"/>
                <w:szCs w:val="24"/>
                <w:lang w:eastAsia="zh-CN"/>
              </w:rPr>
            </m:ctrlPr>
          </m:fPr>
          <m:num>
            <m:r>
              <w:rPr>
                <w:rFonts w:ascii="Cambria Math" w:eastAsia="MinionPro-Regular" w:hAnsi="Cambria Math" w:cs="Times New Roman"/>
                <w:sz w:val="24"/>
                <w:szCs w:val="24"/>
                <w:lang w:eastAsia="zh-CN"/>
              </w:rPr>
              <m:t>24.4</m:t>
            </m:r>
          </m:num>
          <m:den>
            <m:r>
              <w:rPr>
                <w:rFonts w:ascii="Cambria Math" w:eastAsia="MinionPro-Regular" w:hAnsi="Cambria Math" w:cs="Times New Roman"/>
                <w:sz w:val="24"/>
                <w:szCs w:val="24"/>
                <w:lang w:eastAsia="zh-CN"/>
              </w:rPr>
              <m:t>3078.5</m:t>
            </m:r>
          </m:den>
        </m:f>
        <m:r>
          <w:rPr>
            <w:rFonts w:ascii="Cambria Math" w:eastAsia="MinionPro-Regular" w:hAnsi="Cambria Math" w:cs="Times New Roman"/>
            <w:sz w:val="24"/>
            <w:szCs w:val="24"/>
            <w:lang w:eastAsia="zh-CN"/>
          </w:rPr>
          <m:t>×100=0.79%</m:t>
        </m:r>
      </m:oMath>
    </w:p>
    <w:p w:rsidR="00122024" w:rsidRPr="00C240E3" w:rsidRDefault="00122024" w:rsidP="00F47D29">
      <w:pPr>
        <w:widowControl w:val="0"/>
        <w:autoSpaceDE w:val="0"/>
        <w:autoSpaceDN w:val="0"/>
        <w:adjustRightInd w:val="0"/>
        <w:spacing w:after="0" w:line="480" w:lineRule="auto"/>
        <w:rPr>
          <w:rFonts w:ascii="Times New Roman" w:eastAsia="MinionPro-Regular" w:hAnsi="Times New Roman" w:cs="Times New Roman"/>
          <w:sz w:val="24"/>
          <w:szCs w:val="24"/>
          <w:lang w:eastAsia="zh-CN"/>
        </w:rPr>
      </w:pPr>
      <w:r>
        <w:rPr>
          <w:rFonts w:ascii="Times New Roman" w:eastAsia="MinionPro-Regular" w:hAnsi="Times New Roman" w:cs="Times New Roman"/>
          <w:sz w:val="24"/>
          <w:szCs w:val="24"/>
          <w:lang w:eastAsia="zh-CN"/>
        </w:rPr>
        <w:t>A profit margin of 0.79% indi</w:t>
      </w:r>
      <w:r w:rsidR="00326EF3">
        <w:rPr>
          <w:rFonts w:ascii="Times New Roman" w:eastAsia="MinionPro-Regular" w:hAnsi="Times New Roman" w:cs="Times New Roman"/>
          <w:sz w:val="24"/>
          <w:szCs w:val="24"/>
          <w:lang w:eastAsia="zh-CN"/>
        </w:rPr>
        <w:t xml:space="preserve">cates that Brinker International earns 0.79 cents in profit for each dollar it collects </w:t>
      </w:r>
      <w:r>
        <w:rPr>
          <w:rFonts w:ascii="Times New Roman" w:eastAsia="MinionPro-Regular" w:hAnsi="Times New Roman" w:cs="Times New Roman"/>
          <w:sz w:val="24"/>
          <w:szCs w:val="24"/>
          <w:lang w:eastAsia="zh-CN"/>
        </w:rPr>
        <w:t xml:space="preserve"> </w:t>
      </w:r>
    </w:p>
    <w:p w:rsidR="007A60AD" w:rsidRPr="00F47D29" w:rsidRDefault="00D45089" w:rsidP="00F47D29">
      <w:pPr>
        <w:widowControl w:val="0"/>
        <w:autoSpaceDE w:val="0"/>
        <w:autoSpaceDN w:val="0"/>
        <w:adjustRightInd w:val="0"/>
        <w:spacing w:after="0" w:line="480" w:lineRule="auto"/>
        <w:rPr>
          <w:rFonts w:ascii="Times New Roman" w:eastAsia="MinionPro-Regular" w:hAnsi="Times New Roman" w:cs="Times New Roman"/>
          <w:b/>
          <w:sz w:val="24"/>
          <w:szCs w:val="24"/>
          <w:lang w:eastAsia="zh-CN"/>
        </w:rPr>
      </w:pPr>
      <w:r w:rsidRPr="00F47D29">
        <w:rPr>
          <w:rFonts w:ascii="Times New Roman" w:eastAsia="MinionPro-Regular" w:hAnsi="Times New Roman" w:cs="Times New Roman"/>
          <w:b/>
          <w:sz w:val="24"/>
          <w:szCs w:val="24"/>
          <w:lang w:eastAsia="zh-CN"/>
        </w:rPr>
        <w:t xml:space="preserve">Operating profit margin </w:t>
      </w:r>
    </w:p>
    <w:p w:rsidR="00D45089" w:rsidRPr="00F47D29" w:rsidRDefault="00D45089" w:rsidP="00F47D29">
      <w:pPr>
        <w:widowControl w:val="0"/>
        <w:autoSpaceDE w:val="0"/>
        <w:autoSpaceDN w:val="0"/>
        <w:adjustRightInd w:val="0"/>
        <w:spacing w:after="0" w:line="480" w:lineRule="auto"/>
        <w:ind w:firstLine="720"/>
        <w:rPr>
          <w:rFonts w:ascii="Times New Roman" w:eastAsia="MinionPro-Regular" w:hAnsi="Times New Roman" w:cs="Times New Roman"/>
          <w:b/>
          <w:sz w:val="24"/>
          <w:szCs w:val="24"/>
          <w:lang w:eastAsia="zh-CN"/>
        </w:rPr>
      </w:pPr>
      <w:r w:rsidRPr="00F47D29">
        <w:rPr>
          <w:rFonts w:ascii="Times New Roman" w:eastAsia="MinionPro-Regular" w:hAnsi="Times New Roman" w:cs="Times New Roman"/>
          <w:sz w:val="24"/>
          <w:szCs w:val="24"/>
          <w:lang w:eastAsia="zh-CN"/>
        </w:rPr>
        <w:t xml:space="preserve">Operating profit margin ratio is a financial metric </w:t>
      </w:r>
      <w:r w:rsidR="003E1EDB" w:rsidRPr="00F47D29">
        <w:rPr>
          <w:rFonts w:ascii="Times New Roman" w:eastAsia="MinionPro-Regular" w:hAnsi="Times New Roman" w:cs="Times New Roman"/>
          <w:sz w:val="24"/>
          <w:szCs w:val="24"/>
          <w:lang w:eastAsia="zh-CN"/>
        </w:rPr>
        <w:t>that involves operating profit (income before interest and taxes, operating income) to sales. Additionally, operating profit margin ratio indicates the amount of each dollar</w:t>
      </w:r>
      <w:r w:rsidR="00A115D8" w:rsidRPr="00F47D29">
        <w:rPr>
          <w:rFonts w:ascii="Times New Roman" w:eastAsia="MinionPro-Regular" w:hAnsi="Times New Roman" w:cs="Times New Roman"/>
          <w:sz w:val="24"/>
          <w:szCs w:val="24"/>
          <w:lang w:eastAsia="zh-CN"/>
        </w:rPr>
        <w:t xml:space="preserve"> of sales that is</w:t>
      </w:r>
      <w:r w:rsidR="003E1EDB" w:rsidRPr="00F47D29">
        <w:rPr>
          <w:rFonts w:ascii="Times New Roman" w:eastAsia="MinionPro-Regular" w:hAnsi="Times New Roman" w:cs="Times New Roman"/>
          <w:sz w:val="24"/>
          <w:szCs w:val="24"/>
          <w:lang w:eastAsia="zh-CN"/>
        </w:rPr>
        <w:t xml:space="preserve"> </w:t>
      </w:r>
      <w:r w:rsidR="00A115D8" w:rsidRPr="00F47D29">
        <w:rPr>
          <w:rFonts w:ascii="Times New Roman" w:eastAsia="MinionPro-Regular" w:hAnsi="Times New Roman" w:cs="Times New Roman"/>
          <w:sz w:val="24"/>
          <w:szCs w:val="24"/>
          <w:lang w:eastAsia="zh-CN"/>
        </w:rPr>
        <w:t xml:space="preserve">left over </w:t>
      </w:r>
      <w:r w:rsidR="003E1EDB" w:rsidRPr="00F47D29">
        <w:rPr>
          <w:rFonts w:ascii="Times New Roman" w:eastAsia="MinionPro-Regular" w:hAnsi="Times New Roman" w:cs="Times New Roman"/>
          <w:sz w:val="24"/>
          <w:szCs w:val="24"/>
          <w:lang w:eastAsia="zh-CN"/>
        </w:rPr>
        <w:t>after the company’</w:t>
      </w:r>
      <w:r w:rsidR="00A115D8" w:rsidRPr="00F47D29">
        <w:rPr>
          <w:rFonts w:ascii="Times New Roman" w:eastAsia="MinionPro-Regular" w:hAnsi="Times New Roman" w:cs="Times New Roman"/>
          <w:sz w:val="24"/>
          <w:szCs w:val="24"/>
          <w:lang w:eastAsia="zh-CN"/>
        </w:rPr>
        <w:t>s operating expenses</w:t>
      </w:r>
      <w:sdt>
        <w:sdtPr>
          <w:rPr>
            <w:rFonts w:ascii="Times New Roman" w:eastAsia="MinionPro-Regular" w:hAnsi="Times New Roman" w:cs="Times New Roman"/>
            <w:sz w:val="24"/>
            <w:szCs w:val="24"/>
            <w:lang w:eastAsia="zh-CN"/>
          </w:rPr>
          <w:id w:val="-1646352316"/>
          <w:citation/>
        </w:sdtPr>
        <w:sdtContent>
          <w:r w:rsidR="004913E8">
            <w:rPr>
              <w:rFonts w:ascii="Times New Roman" w:eastAsia="MinionPro-Regular" w:hAnsi="Times New Roman" w:cs="Times New Roman"/>
              <w:sz w:val="24"/>
              <w:szCs w:val="24"/>
              <w:lang w:eastAsia="zh-CN"/>
            </w:rPr>
            <w:fldChar w:fldCharType="begin"/>
          </w:r>
          <w:r w:rsidR="004913E8">
            <w:rPr>
              <w:rFonts w:ascii="Times New Roman" w:eastAsia="MinionPro-Regular" w:hAnsi="Times New Roman" w:cs="Times New Roman"/>
              <w:sz w:val="24"/>
              <w:szCs w:val="24"/>
              <w:lang w:eastAsia="zh-CN"/>
            </w:rPr>
            <w:instrText xml:space="preserve"> CITATION Bor14 \l 1033 </w:instrText>
          </w:r>
          <w:r w:rsidR="004913E8">
            <w:rPr>
              <w:rFonts w:ascii="Times New Roman" w:eastAsia="MinionPro-Regular" w:hAnsi="Times New Roman" w:cs="Times New Roman"/>
              <w:sz w:val="24"/>
              <w:szCs w:val="24"/>
              <w:lang w:eastAsia="zh-CN"/>
            </w:rPr>
            <w:fldChar w:fldCharType="separate"/>
          </w:r>
          <w:r w:rsidR="004913E8">
            <w:rPr>
              <w:rFonts w:ascii="Times New Roman" w:eastAsia="MinionPro-Regular" w:hAnsi="Times New Roman" w:cs="Times New Roman"/>
              <w:noProof/>
              <w:sz w:val="24"/>
              <w:szCs w:val="24"/>
              <w:lang w:eastAsia="zh-CN"/>
            </w:rPr>
            <w:t xml:space="preserve"> </w:t>
          </w:r>
          <w:r w:rsidR="004913E8" w:rsidRPr="004913E8">
            <w:rPr>
              <w:rFonts w:ascii="Times New Roman" w:eastAsia="MinionPro-Regular" w:hAnsi="Times New Roman" w:cs="Times New Roman"/>
              <w:noProof/>
              <w:sz w:val="24"/>
              <w:szCs w:val="24"/>
              <w:lang w:eastAsia="zh-CN"/>
            </w:rPr>
            <w:t>(Borhan, Mohamed, &amp; Azmi, 2014)</w:t>
          </w:r>
          <w:r w:rsidR="004913E8">
            <w:rPr>
              <w:rFonts w:ascii="Times New Roman" w:eastAsia="MinionPro-Regular" w:hAnsi="Times New Roman" w:cs="Times New Roman"/>
              <w:sz w:val="24"/>
              <w:szCs w:val="24"/>
              <w:lang w:eastAsia="zh-CN"/>
            </w:rPr>
            <w:fldChar w:fldCharType="end"/>
          </w:r>
        </w:sdtContent>
      </w:sdt>
      <w:r w:rsidR="00A115D8" w:rsidRPr="00F47D29">
        <w:rPr>
          <w:rFonts w:ascii="Times New Roman" w:eastAsia="MinionPro-Regular" w:hAnsi="Times New Roman" w:cs="Times New Roman"/>
          <w:sz w:val="24"/>
          <w:szCs w:val="24"/>
          <w:lang w:eastAsia="zh-CN"/>
        </w:rPr>
        <w:t>.</w:t>
      </w:r>
    </w:p>
    <w:p w:rsidR="007A60AD" w:rsidRPr="00F47D29" w:rsidRDefault="00A115D8" w:rsidP="00F47D29">
      <w:pPr>
        <w:widowControl w:val="0"/>
        <w:autoSpaceDE w:val="0"/>
        <w:autoSpaceDN w:val="0"/>
        <w:adjustRightInd w:val="0"/>
        <w:spacing w:before="100" w:beforeAutospacing="1" w:after="100" w:afterAutospacing="1" w:line="480" w:lineRule="auto"/>
        <w:ind w:left="720" w:firstLine="720"/>
        <w:contextualSpacing/>
        <w:rPr>
          <w:rFonts w:ascii="Times New Roman" w:eastAsia="MinionPro-Regular" w:hAnsi="Times New Roman" w:cs="Times New Roman"/>
          <w:sz w:val="24"/>
          <w:szCs w:val="24"/>
          <w:lang w:eastAsia="zh-CN"/>
        </w:rPr>
      </w:pPr>
      <w:r w:rsidRPr="00F47D29">
        <w:rPr>
          <w:rFonts w:ascii="Times New Roman" w:eastAsia="MinionPro-Regular" w:hAnsi="Times New Roman" w:cs="Times New Roman"/>
          <w:sz w:val="24"/>
          <w:szCs w:val="24"/>
          <w:lang w:eastAsia="zh-CN"/>
        </w:rPr>
        <w:t>Operating profit margin ratio=</w:t>
      </w:r>
      <m:oMath>
        <m:f>
          <m:fPr>
            <m:ctrlPr>
              <w:rPr>
                <w:rFonts w:ascii="Cambria Math" w:eastAsia="MinionPro-Regular" w:hAnsi="Cambria Math" w:cs="Times New Roman"/>
                <w:i/>
                <w:sz w:val="24"/>
                <w:szCs w:val="24"/>
                <w:lang w:eastAsia="zh-CN"/>
              </w:rPr>
            </m:ctrlPr>
          </m:fPr>
          <m:num>
            <m:r>
              <w:rPr>
                <w:rFonts w:ascii="Cambria Math" w:eastAsia="MinionPro-Regular" w:hAnsi="Cambria Math" w:cs="Times New Roman"/>
                <w:sz w:val="24"/>
                <w:szCs w:val="24"/>
                <w:lang w:eastAsia="zh-CN"/>
              </w:rPr>
              <m:t xml:space="preserve">Operating Income  </m:t>
            </m:r>
          </m:num>
          <m:den>
            <m:r>
              <w:rPr>
                <w:rFonts w:ascii="Cambria Math" w:eastAsia="MinionPro-Regular" w:hAnsi="Cambria Math" w:cs="Times New Roman"/>
                <w:sz w:val="24"/>
                <w:szCs w:val="24"/>
                <w:lang w:eastAsia="zh-CN"/>
              </w:rPr>
              <m:t xml:space="preserve">Sales </m:t>
            </m:r>
          </m:den>
        </m:f>
      </m:oMath>
    </w:p>
    <w:p w:rsidR="004C0978" w:rsidRPr="00F47D29" w:rsidRDefault="00C26A37" w:rsidP="00F47D29">
      <w:pPr>
        <w:widowControl w:val="0"/>
        <w:autoSpaceDE w:val="0"/>
        <w:autoSpaceDN w:val="0"/>
        <w:adjustRightInd w:val="0"/>
        <w:spacing w:before="100" w:beforeAutospacing="1" w:after="100" w:afterAutospacing="1" w:line="480" w:lineRule="auto"/>
        <w:ind w:firstLine="720"/>
        <w:contextualSpacing/>
        <w:rPr>
          <w:rFonts w:ascii="Times New Roman" w:eastAsia="MinionPro-Regular" w:hAnsi="Times New Roman" w:cs="Times New Roman"/>
          <w:sz w:val="24"/>
          <w:szCs w:val="24"/>
          <w:lang w:eastAsia="zh-CN"/>
        </w:rPr>
      </w:pPr>
      <w:r w:rsidRPr="00F47D29">
        <w:rPr>
          <w:rFonts w:ascii="Times New Roman" w:eastAsia="MinionPro-Regular" w:hAnsi="Times New Roman" w:cs="Times New Roman"/>
          <w:sz w:val="24"/>
          <w:szCs w:val="24"/>
          <w:lang w:eastAsia="zh-CN"/>
        </w:rPr>
        <w:t xml:space="preserve">For the case of </w:t>
      </w:r>
      <w:r w:rsidR="004C0978" w:rsidRPr="00F47D29">
        <w:rPr>
          <w:rFonts w:ascii="Times New Roman" w:eastAsia="MinionPro-Regular" w:hAnsi="Times New Roman" w:cs="Times New Roman"/>
          <w:sz w:val="24"/>
          <w:szCs w:val="24"/>
          <w:lang w:eastAsia="zh-CN"/>
        </w:rPr>
        <w:t>Brinker International</w:t>
      </w:r>
      <w:r w:rsidR="008942D1" w:rsidRPr="00F47D29">
        <w:rPr>
          <w:rFonts w:ascii="Times New Roman" w:eastAsia="MinionPro-Regular" w:hAnsi="Times New Roman" w:cs="Times New Roman"/>
          <w:sz w:val="24"/>
          <w:szCs w:val="24"/>
          <w:lang w:eastAsia="zh-CN"/>
        </w:rPr>
        <w:t xml:space="preserve"> June, 24,</w:t>
      </w:r>
      <w:r w:rsidRPr="00F47D29">
        <w:rPr>
          <w:rFonts w:ascii="Times New Roman" w:eastAsia="MinionPro-Regular" w:hAnsi="Times New Roman" w:cs="Times New Roman"/>
          <w:sz w:val="24"/>
          <w:szCs w:val="24"/>
          <w:lang w:eastAsia="zh-CN"/>
        </w:rPr>
        <w:t xml:space="preserve"> 2020: operating expense =</w:t>
      </w:r>
      <w:r w:rsidR="004C0978" w:rsidRPr="00F47D29">
        <w:rPr>
          <w:rFonts w:ascii="Times New Roman" w:eastAsia="MinionPro-Regular" w:hAnsi="Times New Roman" w:cs="Times New Roman"/>
          <w:sz w:val="24"/>
          <w:szCs w:val="24"/>
          <w:lang w:eastAsia="zh-CN"/>
        </w:rPr>
        <w:t>0.06</w:t>
      </w:r>
      <w:r w:rsidR="008942D1" w:rsidRPr="00F47D29">
        <w:rPr>
          <w:rFonts w:ascii="Times New Roman" w:eastAsia="MinionPro-Regular" w:hAnsi="Times New Roman" w:cs="Times New Roman"/>
          <w:sz w:val="24"/>
          <w:szCs w:val="24"/>
          <w:lang w:eastAsia="zh-CN"/>
        </w:rPr>
        <w:t>26</w:t>
      </w:r>
      <w:r w:rsidR="004C0978" w:rsidRPr="00F47D29">
        <w:rPr>
          <w:rFonts w:ascii="Times New Roman" w:eastAsia="MinionPro-Regular" w:hAnsi="Times New Roman" w:cs="Times New Roman"/>
          <w:sz w:val="24"/>
          <w:szCs w:val="24"/>
          <w:lang w:eastAsia="zh-CN"/>
        </w:rPr>
        <w:t xml:space="preserve"> billion </w:t>
      </w:r>
      <w:r w:rsidRPr="00F47D29">
        <w:rPr>
          <w:rFonts w:ascii="Times New Roman" w:eastAsia="MinionPro-Regular" w:hAnsi="Times New Roman" w:cs="Times New Roman"/>
          <w:sz w:val="24"/>
          <w:szCs w:val="24"/>
          <w:lang w:eastAsia="zh-CN"/>
        </w:rPr>
        <w:t>dollars and sales=3.0</w:t>
      </w:r>
      <w:r w:rsidR="0080450A" w:rsidRPr="00F47D29">
        <w:rPr>
          <w:rFonts w:ascii="Times New Roman" w:eastAsia="MinionPro-Regular" w:hAnsi="Times New Roman" w:cs="Times New Roman"/>
          <w:sz w:val="24"/>
          <w:szCs w:val="24"/>
          <w:lang w:eastAsia="zh-CN"/>
        </w:rPr>
        <w:t>7</w:t>
      </w:r>
      <w:r w:rsidRPr="00F47D29">
        <w:rPr>
          <w:rFonts w:ascii="Times New Roman" w:eastAsia="MinionPro-Regular" w:hAnsi="Times New Roman" w:cs="Times New Roman"/>
          <w:sz w:val="24"/>
          <w:szCs w:val="24"/>
          <w:lang w:eastAsia="zh-CN"/>
        </w:rPr>
        <w:t>8</w:t>
      </w:r>
      <w:r w:rsidR="0080450A" w:rsidRPr="00F47D29">
        <w:rPr>
          <w:rFonts w:ascii="Times New Roman" w:eastAsia="MinionPro-Regular" w:hAnsi="Times New Roman" w:cs="Times New Roman"/>
          <w:sz w:val="24"/>
          <w:szCs w:val="24"/>
          <w:lang w:eastAsia="zh-CN"/>
        </w:rPr>
        <w:t>5</w:t>
      </w:r>
      <w:r w:rsidRPr="00F47D29">
        <w:rPr>
          <w:rFonts w:ascii="Times New Roman" w:eastAsia="MinionPro-Regular" w:hAnsi="Times New Roman" w:cs="Times New Roman"/>
          <w:sz w:val="24"/>
          <w:szCs w:val="24"/>
          <w:lang w:eastAsia="zh-CN"/>
        </w:rPr>
        <w:t xml:space="preserve"> billion dollars.</w:t>
      </w:r>
    </w:p>
    <w:p w:rsidR="00C26A37" w:rsidRPr="00F47D29" w:rsidRDefault="00C26A37" w:rsidP="00F47D29">
      <w:pPr>
        <w:widowControl w:val="0"/>
        <w:autoSpaceDE w:val="0"/>
        <w:autoSpaceDN w:val="0"/>
        <w:adjustRightInd w:val="0"/>
        <w:spacing w:before="100" w:beforeAutospacing="1" w:after="100" w:afterAutospacing="1" w:line="480" w:lineRule="auto"/>
        <w:ind w:left="720" w:firstLine="720"/>
        <w:contextualSpacing/>
        <w:rPr>
          <w:rFonts w:ascii="Times New Roman" w:eastAsia="MinionPro-Regular" w:hAnsi="Times New Roman" w:cs="Times New Roman"/>
          <w:sz w:val="24"/>
          <w:szCs w:val="24"/>
          <w:lang w:eastAsia="zh-CN"/>
        </w:rPr>
      </w:pPr>
      <w:r w:rsidRPr="00F47D29">
        <w:rPr>
          <w:rFonts w:ascii="Times New Roman" w:eastAsia="MinionPro-Regular" w:hAnsi="Times New Roman" w:cs="Times New Roman"/>
          <w:sz w:val="24"/>
          <w:szCs w:val="24"/>
          <w:lang w:eastAsia="zh-CN"/>
        </w:rPr>
        <w:t>Brinker International’s operating profit margin=</w:t>
      </w:r>
      <m:oMath>
        <m:f>
          <m:fPr>
            <m:ctrlPr>
              <w:rPr>
                <w:rFonts w:ascii="Cambria Math" w:eastAsia="MinionPro-Regular" w:hAnsi="Cambria Math" w:cs="Times New Roman"/>
                <w:i/>
                <w:sz w:val="24"/>
                <w:szCs w:val="24"/>
                <w:lang w:eastAsia="zh-CN"/>
              </w:rPr>
            </m:ctrlPr>
          </m:fPr>
          <m:num>
            <m:r>
              <w:rPr>
                <w:rFonts w:ascii="Cambria Math" w:eastAsia="MinionPro-Regular" w:hAnsi="Cambria Math" w:cs="Times New Roman"/>
                <w:sz w:val="24"/>
                <w:szCs w:val="24"/>
                <w:lang w:eastAsia="zh-CN"/>
              </w:rPr>
              <m:t>0.06 26</m:t>
            </m:r>
          </m:num>
          <m:den>
            <m:r>
              <w:rPr>
                <w:rFonts w:ascii="Cambria Math" w:eastAsia="MinionPro-Regular" w:hAnsi="Cambria Math" w:cs="Times New Roman"/>
                <w:sz w:val="24"/>
                <w:szCs w:val="24"/>
                <w:lang w:eastAsia="zh-CN"/>
              </w:rPr>
              <m:t>3.0785</m:t>
            </m:r>
          </m:den>
        </m:f>
        <m:r>
          <w:rPr>
            <w:rFonts w:ascii="Cambria Math" w:eastAsia="MinionPro-Regular" w:hAnsi="Cambria Math" w:cs="Times New Roman"/>
            <w:sz w:val="24"/>
            <w:szCs w:val="24"/>
            <w:lang w:eastAsia="zh-CN"/>
          </w:rPr>
          <m:t>=0.02033 or 2.03%</m:t>
        </m:r>
      </m:oMath>
    </w:p>
    <w:p w:rsidR="00561F62" w:rsidRPr="00F47D29" w:rsidRDefault="001D1DF0" w:rsidP="00F47D29">
      <w:pPr>
        <w:widowControl w:val="0"/>
        <w:autoSpaceDE w:val="0"/>
        <w:autoSpaceDN w:val="0"/>
        <w:adjustRightInd w:val="0"/>
        <w:spacing w:before="100" w:beforeAutospacing="1" w:after="100" w:afterAutospacing="1" w:line="480" w:lineRule="auto"/>
        <w:ind w:firstLine="720"/>
        <w:contextualSpacing/>
        <w:rPr>
          <w:rFonts w:ascii="Times New Roman" w:eastAsia="MinionPro-Regular" w:hAnsi="Times New Roman" w:cs="Times New Roman"/>
          <w:sz w:val="24"/>
          <w:szCs w:val="24"/>
          <w:lang w:eastAsia="zh-CN"/>
        </w:rPr>
      </w:pPr>
      <w:r w:rsidRPr="00F47D29">
        <w:rPr>
          <w:rFonts w:ascii="Times New Roman" w:eastAsia="MinionPro-Regular" w:hAnsi="Times New Roman" w:cs="Times New Roman"/>
          <w:sz w:val="24"/>
          <w:szCs w:val="24"/>
          <w:lang w:eastAsia="zh-CN"/>
        </w:rPr>
        <w:t>Therefore,</w:t>
      </w:r>
      <w:r w:rsidR="00561F62" w:rsidRPr="00F47D29">
        <w:rPr>
          <w:rFonts w:ascii="Times New Roman" w:eastAsia="MinionPro-Regular" w:hAnsi="Times New Roman" w:cs="Times New Roman"/>
          <w:sz w:val="24"/>
          <w:szCs w:val="24"/>
          <w:lang w:eastAsia="zh-CN"/>
        </w:rPr>
        <w:t xml:space="preserve"> Brinker’s operating profit margin is 2.03%</w:t>
      </w:r>
      <w:r w:rsidRPr="00F47D29">
        <w:rPr>
          <w:rFonts w:ascii="Times New Roman" w:eastAsia="MinionPro-Regular" w:hAnsi="Times New Roman" w:cs="Times New Roman"/>
          <w:sz w:val="24"/>
          <w:szCs w:val="24"/>
          <w:lang w:eastAsia="zh-CN"/>
        </w:rPr>
        <w:t xml:space="preserve"> which is equal to $0.0203 profit </w:t>
      </w:r>
      <w:r w:rsidRPr="00F47D29">
        <w:rPr>
          <w:rFonts w:ascii="Times New Roman" w:eastAsia="MinionPro-Regular" w:hAnsi="Times New Roman" w:cs="Times New Roman"/>
          <w:sz w:val="24"/>
          <w:szCs w:val="24"/>
          <w:lang w:eastAsia="zh-CN"/>
        </w:rPr>
        <w:lastRenderedPageBreak/>
        <w:t>from operations for every organization’s 1 dollar of revenue. Additionally, the ratio indicates that 97.97 cents on each dollar is utilize to pay for operating expenses. Only 2.03 cents remain for the company to cover all fixed assets or non-operating expenses.</w:t>
      </w:r>
    </w:p>
    <w:p w:rsidR="00A843A8" w:rsidRPr="00F47D29" w:rsidRDefault="000A5DC8" w:rsidP="00F47D29">
      <w:pPr>
        <w:widowControl w:val="0"/>
        <w:autoSpaceDE w:val="0"/>
        <w:autoSpaceDN w:val="0"/>
        <w:adjustRightInd w:val="0"/>
        <w:spacing w:before="100" w:beforeAutospacing="1" w:after="100" w:afterAutospacing="1" w:line="480" w:lineRule="auto"/>
        <w:contextualSpacing/>
        <w:rPr>
          <w:rFonts w:ascii="Times New Roman" w:eastAsia="MinionPro-Regular" w:hAnsi="Times New Roman" w:cs="Times New Roman"/>
          <w:b/>
          <w:sz w:val="24"/>
          <w:szCs w:val="24"/>
          <w:lang w:eastAsia="zh-CN"/>
        </w:rPr>
      </w:pPr>
      <w:r w:rsidRPr="00F47D29">
        <w:rPr>
          <w:rFonts w:ascii="Times New Roman" w:eastAsia="MinionPro-Regular" w:hAnsi="Times New Roman" w:cs="Times New Roman"/>
          <w:b/>
          <w:sz w:val="24"/>
          <w:szCs w:val="24"/>
          <w:lang w:eastAsia="zh-CN"/>
        </w:rPr>
        <w:t>Basic Earning Power(BEP)</w:t>
      </w:r>
    </w:p>
    <w:p w:rsidR="000A5DC8" w:rsidRPr="00F47D29" w:rsidRDefault="000A5DC8" w:rsidP="00F47D29">
      <w:pPr>
        <w:widowControl w:val="0"/>
        <w:autoSpaceDE w:val="0"/>
        <w:autoSpaceDN w:val="0"/>
        <w:adjustRightInd w:val="0"/>
        <w:spacing w:before="100" w:beforeAutospacing="1" w:after="100" w:afterAutospacing="1" w:line="480" w:lineRule="auto"/>
        <w:ind w:firstLine="720"/>
        <w:contextualSpacing/>
        <w:rPr>
          <w:rFonts w:ascii="Times New Roman" w:eastAsia="MinionPro-Regular" w:hAnsi="Times New Roman" w:cs="Times New Roman"/>
          <w:sz w:val="24"/>
          <w:szCs w:val="24"/>
          <w:lang w:eastAsia="zh-CN"/>
        </w:rPr>
      </w:pPr>
      <w:r w:rsidRPr="00F47D29">
        <w:rPr>
          <w:rFonts w:ascii="Times New Roman" w:eastAsia="MinionPro-Regular" w:hAnsi="Times New Roman" w:cs="Times New Roman"/>
          <w:sz w:val="24"/>
          <w:szCs w:val="24"/>
          <w:lang w:eastAsia="zh-CN"/>
        </w:rPr>
        <w:t xml:space="preserve">Basic earning power(BEP) is a metric </w:t>
      </w:r>
      <w:r w:rsidR="00467501" w:rsidRPr="00F47D29">
        <w:rPr>
          <w:rFonts w:ascii="Times New Roman" w:eastAsia="MinionPro-Regular" w:hAnsi="Times New Roman" w:cs="Times New Roman"/>
          <w:sz w:val="24"/>
          <w:szCs w:val="24"/>
          <w:lang w:eastAsia="zh-CN"/>
        </w:rPr>
        <w:t>that determines the earning power of a company before the effect of the organization’s financial leverage as well as its income taxes</w:t>
      </w:r>
      <w:sdt>
        <w:sdtPr>
          <w:rPr>
            <w:rFonts w:ascii="Times New Roman" w:eastAsia="MinionPro-Regular" w:hAnsi="Times New Roman" w:cs="Times New Roman"/>
            <w:sz w:val="24"/>
            <w:szCs w:val="24"/>
            <w:lang w:eastAsia="zh-CN"/>
          </w:rPr>
          <w:id w:val="1924061777"/>
          <w:citation/>
        </w:sdtPr>
        <w:sdtContent>
          <w:r w:rsidR="004913E8">
            <w:rPr>
              <w:rFonts w:ascii="Times New Roman" w:eastAsia="MinionPro-Regular" w:hAnsi="Times New Roman" w:cs="Times New Roman"/>
              <w:sz w:val="24"/>
              <w:szCs w:val="24"/>
              <w:lang w:eastAsia="zh-CN"/>
            </w:rPr>
            <w:fldChar w:fldCharType="begin"/>
          </w:r>
          <w:r w:rsidR="004913E8">
            <w:rPr>
              <w:rFonts w:ascii="Times New Roman" w:eastAsia="MinionPro-Regular" w:hAnsi="Times New Roman" w:cs="Times New Roman"/>
              <w:sz w:val="24"/>
              <w:szCs w:val="24"/>
              <w:lang w:eastAsia="zh-CN"/>
            </w:rPr>
            <w:instrText xml:space="preserve"> CITATION Bor14 \l 1033 </w:instrText>
          </w:r>
          <w:r w:rsidR="004913E8">
            <w:rPr>
              <w:rFonts w:ascii="Times New Roman" w:eastAsia="MinionPro-Regular" w:hAnsi="Times New Roman" w:cs="Times New Roman"/>
              <w:sz w:val="24"/>
              <w:szCs w:val="24"/>
              <w:lang w:eastAsia="zh-CN"/>
            </w:rPr>
            <w:fldChar w:fldCharType="separate"/>
          </w:r>
          <w:r w:rsidR="004913E8">
            <w:rPr>
              <w:rFonts w:ascii="Times New Roman" w:eastAsia="MinionPro-Regular" w:hAnsi="Times New Roman" w:cs="Times New Roman"/>
              <w:noProof/>
              <w:sz w:val="24"/>
              <w:szCs w:val="24"/>
              <w:lang w:eastAsia="zh-CN"/>
            </w:rPr>
            <w:t xml:space="preserve"> </w:t>
          </w:r>
          <w:r w:rsidR="004913E8" w:rsidRPr="004913E8">
            <w:rPr>
              <w:rFonts w:ascii="Times New Roman" w:eastAsia="MinionPro-Regular" w:hAnsi="Times New Roman" w:cs="Times New Roman"/>
              <w:noProof/>
              <w:sz w:val="24"/>
              <w:szCs w:val="24"/>
              <w:lang w:eastAsia="zh-CN"/>
            </w:rPr>
            <w:t>(Borhan, Mohamed, &amp; Azmi, 2014)</w:t>
          </w:r>
          <w:r w:rsidR="004913E8">
            <w:rPr>
              <w:rFonts w:ascii="Times New Roman" w:eastAsia="MinionPro-Regular" w:hAnsi="Times New Roman" w:cs="Times New Roman"/>
              <w:sz w:val="24"/>
              <w:szCs w:val="24"/>
              <w:lang w:eastAsia="zh-CN"/>
            </w:rPr>
            <w:fldChar w:fldCharType="end"/>
          </w:r>
        </w:sdtContent>
      </w:sdt>
      <w:r w:rsidR="00467501" w:rsidRPr="00F47D29">
        <w:rPr>
          <w:rFonts w:ascii="Times New Roman" w:eastAsia="MinionPro-Regular" w:hAnsi="Times New Roman" w:cs="Times New Roman"/>
          <w:sz w:val="24"/>
          <w:szCs w:val="24"/>
          <w:lang w:eastAsia="zh-CN"/>
        </w:rPr>
        <w:t>. It is usually determined by EBIT (earnings before taxes and interest) by the company’s total assets.</w:t>
      </w:r>
    </w:p>
    <w:p w:rsidR="001645D8" w:rsidRPr="00F47D29" w:rsidRDefault="001645D8" w:rsidP="00F47D29">
      <w:pPr>
        <w:widowControl w:val="0"/>
        <w:autoSpaceDE w:val="0"/>
        <w:autoSpaceDN w:val="0"/>
        <w:adjustRightInd w:val="0"/>
        <w:spacing w:before="100" w:beforeAutospacing="1" w:after="100" w:afterAutospacing="1" w:line="480" w:lineRule="auto"/>
        <w:ind w:left="720" w:firstLine="720"/>
        <w:contextualSpacing/>
        <w:rPr>
          <w:rFonts w:ascii="Times New Roman" w:eastAsia="MinionPro-Regular" w:hAnsi="Times New Roman" w:cs="Times New Roman"/>
          <w:sz w:val="24"/>
          <w:szCs w:val="24"/>
          <w:lang w:eastAsia="zh-CN"/>
        </w:rPr>
      </w:pPr>
      <w:r w:rsidRPr="00F47D29">
        <w:rPr>
          <w:rFonts w:ascii="Times New Roman" w:eastAsia="MinionPro-Regular" w:hAnsi="Times New Roman" w:cs="Times New Roman"/>
          <w:sz w:val="24"/>
          <w:szCs w:val="24"/>
          <w:lang w:eastAsia="zh-CN"/>
        </w:rPr>
        <w:t>BEP</w:t>
      </w:r>
      <m:oMath>
        <m:r>
          <w:rPr>
            <w:rFonts w:ascii="Cambria Math" w:eastAsia="MinionPro-Regular" w:hAnsi="Cambria Math" w:cs="Times New Roman"/>
            <w:sz w:val="24"/>
            <w:szCs w:val="24"/>
            <w:lang w:eastAsia="zh-CN"/>
          </w:rPr>
          <m:t>=</m:t>
        </m:r>
        <m:f>
          <m:fPr>
            <m:ctrlPr>
              <w:rPr>
                <w:rFonts w:ascii="Cambria Math" w:eastAsia="MinionPro-Regular" w:hAnsi="Cambria Math" w:cs="Times New Roman"/>
                <w:i/>
                <w:sz w:val="24"/>
                <w:szCs w:val="24"/>
                <w:lang w:eastAsia="zh-CN"/>
              </w:rPr>
            </m:ctrlPr>
          </m:fPr>
          <m:num>
            <m:r>
              <w:rPr>
                <w:rFonts w:ascii="Cambria Math" w:eastAsia="MinionPro-Regular" w:hAnsi="Cambria Math" w:cs="Times New Roman"/>
                <w:sz w:val="24"/>
                <w:szCs w:val="24"/>
                <w:lang w:eastAsia="zh-CN"/>
              </w:rPr>
              <m:t>EBIT</m:t>
            </m:r>
          </m:num>
          <m:den>
            <m:r>
              <w:rPr>
                <w:rFonts w:ascii="Cambria Math" w:eastAsia="MinionPro-Regular" w:hAnsi="Cambria Math" w:cs="Times New Roman"/>
                <w:sz w:val="24"/>
                <w:szCs w:val="24"/>
                <w:lang w:eastAsia="zh-CN"/>
              </w:rPr>
              <m:t xml:space="preserve">Total Assets </m:t>
            </m:r>
          </m:den>
        </m:f>
      </m:oMath>
    </w:p>
    <w:p w:rsidR="001645D8" w:rsidRPr="00F47D29" w:rsidRDefault="00E952C1" w:rsidP="00F47D29">
      <w:pPr>
        <w:widowControl w:val="0"/>
        <w:autoSpaceDE w:val="0"/>
        <w:autoSpaceDN w:val="0"/>
        <w:adjustRightInd w:val="0"/>
        <w:spacing w:before="100" w:beforeAutospacing="1" w:after="100" w:afterAutospacing="1" w:line="480" w:lineRule="auto"/>
        <w:ind w:left="720" w:firstLine="720"/>
        <w:contextualSpacing/>
        <w:rPr>
          <w:rFonts w:ascii="Times New Roman" w:eastAsia="MinionPro-Regular" w:hAnsi="Times New Roman" w:cs="Times New Roman"/>
          <w:sz w:val="24"/>
          <w:szCs w:val="24"/>
          <w:lang w:eastAsia="zh-CN"/>
        </w:rPr>
      </w:pPr>
      <w:r w:rsidRPr="00F47D29">
        <w:rPr>
          <w:rFonts w:ascii="Times New Roman" w:eastAsia="MinionPro-Regular" w:hAnsi="Times New Roman" w:cs="Times New Roman"/>
          <w:sz w:val="24"/>
          <w:szCs w:val="24"/>
          <w:lang w:eastAsia="zh-CN"/>
        </w:rPr>
        <w:t>Brinker’s EBIT=$110</w:t>
      </w:r>
      <w:r w:rsidR="00B357FB" w:rsidRPr="00F47D29">
        <w:rPr>
          <w:rFonts w:ascii="Times New Roman" w:eastAsia="MinionPro-Regular" w:hAnsi="Times New Roman" w:cs="Times New Roman"/>
          <w:sz w:val="24"/>
          <w:szCs w:val="24"/>
          <w:lang w:eastAsia="zh-CN"/>
        </w:rPr>
        <w:t xml:space="preserve"> million</w:t>
      </w:r>
      <w:r w:rsidR="001645D8" w:rsidRPr="00F47D29">
        <w:rPr>
          <w:rFonts w:ascii="Times New Roman" w:eastAsia="MinionPro-Regular" w:hAnsi="Times New Roman" w:cs="Times New Roman"/>
          <w:sz w:val="24"/>
          <w:szCs w:val="24"/>
          <w:lang w:eastAsia="zh-CN"/>
        </w:rPr>
        <w:t>, and total assets =</w:t>
      </w:r>
      <w:r w:rsidR="00B357FB" w:rsidRPr="00F47D29">
        <w:rPr>
          <w:rFonts w:ascii="Times New Roman" w:eastAsia="MinionPro-Regular" w:hAnsi="Times New Roman" w:cs="Times New Roman"/>
          <w:sz w:val="24"/>
          <w:szCs w:val="24"/>
          <w:lang w:eastAsia="zh-CN"/>
        </w:rPr>
        <w:t>$ 2356 million</w:t>
      </w:r>
    </w:p>
    <w:p w:rsidR="00B357FB" w:rsidRPr="00F47D29" w:rsidRDefault="00B357FB" w:rsidP="00F47D29">
      <w:pPr>
        <w:widowControl w:val="0"/>
        <w:autoSpaceDE w:val="0"/>
        <w:autoSpaceDN w:val="0"/>
        <w:adjustRightInd w:val="0"/>
        <w:spacing w:before="100" w:beforeAutospacing="1" w:after="100" w:afterAutospacing="1" w:line="480" w:lineRule="auto"/>
        <w:ind w:left="720" w:firstLine="720"/>
        <w:contextualSpacing/>
        <w:rPr>
          <w:rFonts w:ascii="Times New Roman" w:eastAsia="MinionPro-Regular" w:hAnsi="Times New Roman" w:cs="Times New Roman"/>
          <w:sz w:val="24"/>
          <w:szCs w:val="24"/>
          <w:lang w:eastAsia="zh-CN"/>
        </w:rPr>
      </w:pPr>
      <w:r w:rsidRPr="00F47D29">
        <w:rPr>
          <w:rFonts w:ascii="Times New Roman" w:eastAsia="MinionPro-Regular" w:hAnsi="Times New Roman" w:cs="Times New Roman"/>
          <w:sz w:val="24"/>
          <w:szCs w:val="24"/>
          <w:lang w:eastAsia="zh-CN"/>
        </w:rPr>
        <w:t>Brinker’s BEP=</w:t>
      </w:r>
      <m:oMath>
        <m:f>
          <m:fPr>
            <m:ctrlPr>
              <w:rPr>
                <w:rFonts w:ascii="Cambria Math" w:eastAsia="MinionPro-Regular" w:hAnsi="Cambria Math" w:cs="Times New Roman"/>
                <w:i/>
                <w:sz w:val="24"/>
                <w:szCs w:val="24"/>
                <w:lang w:eastAsia="zh-CN"/>
              </w:rPr>
            </m:ctrlPr>
          </m:fPr>
          <m:num>
            <m:r>
              <w:rPr>
                <w:rFonts w:ascii="Cambria Math" w:eastAsia="MinionPro-Regular" w:hAnsi="Cambria Math" w:cs="Times New Roman"/>
                <w:sz w:val="24"/>
                <w:szCs w:val="24"/>
                <w:lang w:eastAsia="zh-CN"/>
              </w:rPr>
              <m:t>110</m:t>
            </m:r>
          </m:num>
          <m:den>
            <m:r>
              <w:rPr>
                <w:rFonts w:ascii="Cambria Math" w:eastAsia="MinionPro-Regular" w:hAnsi="Cambria Math" w:cs="Times New Roman"/>
                <w:sz w:val="24"/>
                <w:szCs w:val="24"/>
                <w:lang w:eastAsia="zh-CN"/>
              </w:rPr>
              <m:t>2356</m:t>
            </m:r>
          </m:den>
        </m:f>
        <m:r>
          <w:rPr>
            <w:rFonts w:ascii="Cambria Math" w:eastAsia="MinionPro-Regular" w:hAnsi="Cambria Math" w:cs="Times New Roman"/>
            <w:sz w:val="24"/>
            <w:szCs w:val="24"/>
            <w:lang w:eastAsia="zh-CN"/>
          </w:rPr>
          <m:t>=0.0467</m:t>
        </m:r>
        <m:r>
          <w:rPr>
            <w:rFonts w:ascii="Cambria Math" w:eastAsia="MinionPro-Regular" w:hAnsi="Cambria Math" w:cs="Times New Roman"/>
            <w:sz w:val="24"/>
            <w:szCs w:val="24"/>
            <w:lang w:eastAsia="zh-CN"/>
          </w:rPr>
          <m:t xml:space="preserve"> or</m:t>
        </m:r>
        <m:r>
          <w:rPr>
            <w:rFonts w:ascii="Cambria Math" w:eastAsia="MinionPro-Regular" w:hAnsi="Cambria Math" w:cs="Times New Roman"/>
            <w:sz w:val="24"/>
            <w:szCs w:val="24"/>
            <w:lang w:eastAsia="zh-CN"/>
          </w:rPr>
          <m:t xml:space="preserve"> 4.67</m:t>
        </m:r>
        <m:r>
          <w:rPr>
            <w:rFonts w:ascii="Cambria Math" w:eastAsia="MinionPro-Regular" w:hAnsi="Cambria Math" w:cs="Times New Roman"/>
            <w:sz w:val="24"/>
            <w:szCs w:val="24"/>
            <w:lang w:eastAsia="zh-CN"/>
          </w:rPr>
          <m:t>%</m:t>
        </m:r>
      </m:oMath>
    </w:p>
    <w:p w:rsidR="008942D1" w:rsidRPr="00F47D29" w:rsidRDefault="00B961C1" w:rsidP="00F47D29">
      <w:pPr>
        <w:spacing w:after="0" w:line="480" w:lineRule="auto"/>
        <w:rPr>
          <w:rFonts w:ascii="Times New Roman" w:eastAsia="MinionPro-Regular" w:hAnsi="Times New Roman" w:cs="Times New Roman"/>
          <w:b/>
          <w:sz w:val="24"/>
          <w:szCs w:val="24"/>
          <w:lang w:eastAsia="zh-CN"/>
        </w:rPr>
      </w:pPr>
      <w:r w:rsidRPr="00F47D29">
        <w:rPr>
          <w:rFonts w:ascii="Times New Roman" w:eastAsia="MinionPro-Regular" w:hAnsi="Times New Roman" w:cs="Times New Roman"/>
          <w:b/>
          <w:sz w:val="24"/>
          <w:szCs w:val="24"/>
          <w:lang w:eastAsia="zh-CN"/>
        </w:rPr>
        <w:t>Return on assets (ROA)</w:t>
      </w:r>
    </w:p>
    <w:p w:rsidR="00B961C1" w:rsidRPr="00F47D29" w:rsidRDefault="008E110F" w:rsidP="00F47D29">
      <w:pPr>
        <w:spacing w:before="100" w:beforeAutospacing="1" w:after="120" w:line="480" w:lineRule="auto"/>
        <w:ind w:firstLine="720"/>
        <w:contextualSpacing/>
        <w:rPr>
          <w:rFonts w:ascii="Times New Roman" w:eastAsia="MinionPro-Regular" w:hAnsi="Times New Roman" w:cs="Times New Roman"/>
          <w:sz w:val="24"/>
          <w:szCs w:val="24"/>
          <w:lang w:eastAsia="zh-CN"/>
        </w:rPr>
      </w:pPr>
      <w:r w:rsidRPr="00F47D29">
        <w:rPr>
          <w:rFonts w:ascii="Times New Roman" w:eastAsia="MinionPro-Regular" w:hAnsi="Times New Roman" w:cs="Times New Roman"/>
          <w:sz w:val="24"/>
          <w:szCs w:val="24"/>
          <w:lang w:eastAsia="zh-CN"/>
        </w:rPr>
        <w:t xml:space="preserve">ROA refers to the return on investment financial metric that measures the company’s profitability in relation to their total assets. ROA usually indicates the performance of an organization by comparing the profit the company is generating to their capital invested in both current and fixed assets. </w:t>
      </w:r>
    </w:p>
    <w:p w:rsidR="00E24E71" w:rsidRPr="00F47D29" w:rsidRDefault="00E24E71" w:rsidP="00F47D29">
      <w:pPr>
        <w:spacing w:before="100" w:beforeAutospacing="1" w:after="120" w:line="480" w:lineRule="auto"/>
        <w:ind w:left="720" w:firstLine="720"/>
        <w:contextualSpacing/>
        <w:rPr>
          <w:rFonts w:ascii="Times New Roman" w:eastAsia="MinionPro-Regular" w:hAnsi="Times New Roman" w:cs="Times New Roman"/>
          <w:sz w:val="24"/>
          <w:szCs w:val="24"/>
          <w:lang w:eastAsia="zh-CN"/>
        </w:rPr>
      </w:pPr>
      <w:r w:rsidRPr="00F47D29">
        <w:rPr>
          <w:rFonts w:ascii="Times New Roman" w:eastAsia="MinionPro-Regular" w:hAnsi="Times New Roman" w:cs="Times New Roman"/>
          <w:sz w:val="24"/>
          <w:szCs w:val="24"/>
          <w:lang w:eastAsia="zh-CN"/>
        </w:rPr>
        <w:t>ROA=</w:t>
      </w:r>
      <m:oMath>
        <m:f>
          <m:fPr>
            <m:ctrlPr>
              <w:rPr>
                <w:rFonts w:ascii="Cambria Math" w:eastAsia="MinionPro-Regular" w:hAnsi="Cambria Math" w:cs="Times New Roman"/>
                <w:i/>
                <w:sz w:val="24"/>
                <w:szCs w:val="24"/>
                <w:lang w:eastAsia="zh-CN"/>
              </w:rPr>
            </m:ctrlPr>
          </m:fPr>
          <m:num>
            <m:r>
              <w:rPr>
                <w:rFonts w:ascii="Cambria Math" w:eastAsia="MinionPro-Regular" w:hAnsi="Cambria Math" w:cs="Times New Roman"/>
                <w:sz w:val="24"/>
                <w:szCs w:val="24"/>
                <w:lang w:eastAsia="zh-CN"/>
              </w:rPr>
              <m:t>Net Income</m:t>
            </m:r>
          </m:num>
          <m:den>
            <m:r>
              <w:rPr>
                <w:rFonts w:ascii="Cambria Math" w:eastAsia="MinionPro-Regular" w:hAnsi="Cambria Math" w:cs="Times New Roman"/>
                <w:sz w:val="24"/>
                <w:szCs w:val="24"/>
                <w:lang w:eastAsia="zh-CN"/>
              </w:rPr>
              <m:t xml:space="preserve"> total assets </m:t>
            </m:r>
          </m:den>
        </m:f>
      </m:oMath>
    </w:p>
    <w:p w:rsidR="00975110" w:rsidRPr="00F47D29" w:rsidRDefault="00975110" w:rsidP="00F47D29">
      <w:pPr>
        <w:spacing w:before="100" w:beforeAutospacing="1" w:after="120" w:line="480" w:lineRule="auto"/>
        <w:ind w:left="720" w:firstLine="720"/>
        <w:contextualSpacing/>
        <w:rPr>
          <w:rFonts w:ascii="Times New Roman" w:eastAsia="MinionPro-Regular" w:hAnsi="Times New Roman" w:cs="Times New Roman"/>
          <w:sz w:val="24"/>
          <w:szCs w:val="24"/>
          <w:lang w:eastAsia="zh-CN"/>
        </w:rPr>
      </w:pPr>
      <w:r w:rsidRPr="00F47D29">
        <w:rPr>
          <w:rFonts w:ascii="Times New Roman" w:eastAsia="MinionPro-Regular" w:hAnsi="Times New Roman" w:cs="Times New Roman"/>
          <w:sz w:val="24"/>
          <w:szCs w:val="24"/>
          <w:lang w:eastAsia="zh-CN"/>
        </w:rPr>
        <w:t>Bri</w:t>
      </w:r>
      <w:r w:rsidR="00C66602" w:rsidRPr="00F47D29">
        <w:rPr>
          <w:rFonts w:ascii="Times New Roman" w:eastAsia="MinionPro-Regular" w:hAnsi="Times New Roman" w:cs="Times New Roman"/>
          <w:sz w:val="24"/>
          <w:szCs w:val="24"/>
          <w:lang w:eastAsia="zh-CN"/>
        </w:rPr>
        <w:t>nker’s net income =$24.4 million, and total assets=$2,</w:t>
      </w:r>
      <w:r w:rsidRPr="00F47D29">
        <w:rPr>
          <w:rFonts w:ascii="Times New Roman" w:eastAsia="MinionPro-Regular" w:hAnsi="Times New Roman" w:cs="Times New Roman"/>
          <w:sz w:val="24"/>
          <w:szCs w:val="24"/>
          <w:lang w:eastAsia="zh-CN"/>
        </w:rPr>
        <w:t>3</w:t>
      </w:r>
      <w:r w:rsidR="00C66602" w:rsidRPr="00F47D29">
        <w:rPr>
          <w:rFonts w:ascii="Times New Roman" w:eastAsia="MinionPro-Regular" w:hAnsi="Times New Roman" w:cs="Times New Roman"/>
          <w:sz w:val="24"/>
          <w:szCs w:val="24"/>
          <w:lang w:eastAsia="zh-CN"/>
        </w:rPr>
        <w:t>56 million</w:t>
      </w:r>
      <w:r w:rsidRPr="00F47D29">
        <w:rPr>
          <w:rFonts w:ascii="Times New Roman" w:eastAsia="MinionPro-Regular" w:hAnsi="Times New Roman" w:cs="Times New Roman"/>
          <w:sz w:val="24"/>
          <w:szCs w:val="24"/>
          <w:lang w:eastAsia="zh-CN"/>
        </w:rPr>
        <w:t xml:space="preserve"> </w:t>
      </w:r>
    </w:p>
    <w:p w:rsidR="00D9032A" w:rsidRPr="00F47D29" w:rsidRDefault="00975110" w:rsidP="00F47D29">
      <w:pPr>
        <w:spacing w:before="100" w:beforeAutospacing="1" w:after="120" w:line="480" w:lineRule="auto"/>
        <w:ind w:left="720" w:firstLine="720"/>
        <w:contextualSpacing/>
        <w:rPr>
          <w:rFonts w:ascii="Times New Roman" w:eastAsia="MinionPro-Regular" w:hAnsi="Times New Roman" w:cs="Times New Roman"/>
          <w:sz w:val="24"/>
          <w:szCs w:val="24"/>
          <w:lang w:eastAsia="zh-CN"/>
        </w:rPr>
      </w:pPr>
      <w:r w:rsidRPr="00F47D29">
        <w:rPr>
          <w:rFonts w:ascii="Times New Roman" w:eastAsia="MinionPro-Regular" w:hAnsi="Times New Roman" w:cs="Times New Roman"/>
          <w:sz w:val="24"/>
          <w:szCs w:val="24"/>
          <w:lang w:eastAsia="zh-CN"/>
        </w:rPr>
        <w:t>Brinker’s ROA=</w:t>
      </w:r>
      <m:oMath>
        <m:f>
          <m:fPr>
            <m:ctrlPr>
              <w:rPr>
                <w:rFonts w:ascii="Cambria Math" w:eastAsia="MinionPro-Regular" w:hAnsi="Cambria Math" w:cs="Times New Roman"/>
                <w:i/>
                <w:sz w:val="24"/>
                <w:szCs w:val="24"/>
                <w:lang w:eastAsia="zh-CN"/>
              </w:rPr>
            </m:ctrlPr>
          </m:fPr>
          <m:num>
            <m:r>
              <w:rPr>
                <w:rFonts w:ascii="Cambria Math" w:eastAsia="MinionPro-Regular" w:hAnsi="Cambria Math" w:cs="Times New Roman"/>
                <w:sz w:val="24"/>
                <w:szCs w:val="24"/>
                <w:lang w:eastAsia="zh-CN"/>
              </w:rPr>
              <m:t>24.4</m:t>
            </m:r>
          </m:num>
          <m:den>
            <m:r>
              <w:rPr>
                <w:rFonts w:ascii="Cambria Math" w:eastAsia="MinionPro-Regular" w:hAnsi="Cambria Math" w:cs="Times New Roman"/>
                <w:sz w:val="24"/>
                <w:szCs w:val="24"/>
                <w:lang w:eastAsia="zh-CN"/>
              </w:rPr>
              <m:t xml:space="preserve">2536   </m:t>
            </m:r>
          </m:den>
        </m:f>
      </m:oMath>
      <w:r w:rsidR="00C66602" w:rsidRPr="00F47D29">
        <w:rPr>
          <w:rFonts w:ascii="Times New Roman" w:eastAsia="MinionPro-Regular" w:hAnsi="Times New Roman" w:cs="Times New Roman"/>
          <w:sz w:val="24"/>
          <w:szCs w:val="24"/>
          <w:lang w:eastAsia="zh-CN"/>
        </w:rPr>
        <w:t>=0.0104or 1.04</w:t>
      </w:r>
      <w:r w:rsidRPr="00F47D29">
        <w:rPr>
          <w:rFonts w:ascii="Times New Roman" w:eastAsia="MinionPro-Regular" w:hAnsi="Times New Roman" w:cs="Times New Roman"/>
          <w:sz w:val="24"/>
          <w:szCs w:val="24"/>
          <w:lang w:eastAsia="zh-CN"/>
        </w:rPr>
        <w:t>%</w:t>
      </w:r>
    </w:p>
    <w:p w:rsidR="00015635" w:rsidRPr="00F47D29" w:rsidRDefault="00015635" w:rsidP="00F47D29">
      <w:pPr>
        <w:spacing w:before="100" w:beforeAutospacing="1" w:after="120" w:line="480" w:lineRule="auto"/>
        <w:ind w:firstLine="720"/>
        <w:contextualSpacing/>
        <w:rPr>
          <w:rFonts w:ascii="Times New Roman" w:eastAsia="MinionPro-Regular" w:hAnsi="Times New Roman" w:cs="Times New Roman"/>
          <w:sz w:val="24"/>
          <w:szCs w:val="24"/>
          <w:lang w:eastAsia="zh-CN"/>
        </w:rPr>
      </w:pPr>
      <w:r w:rsidRPr="00F47D29">
        <w:rPr>
          <w:rFonts w:ascii="Times New Roman" w:eastAsia="MinionPro-Regular" w:hAnsi="Times New Roman" w:cs="Times New Roman"/>
          <w:sz w:val="24"/>
          <w:szCs w:val="24"/>
          <w:lang w:eastAsia="zh-CN"/>
        </w:rPr>
        <w:t>Brinker’s ROA ratio is 1.04% indicating that every dollar that Brinker International invests in its assets as per June 24</w:t>
      </w:r>
      <w:r w:rsidRPr="00F47D29">
        <w:rPr>
          <w:rFonts w:ascii="Times New Roman" w:eastAsia="MinionPro-Regular" w:hAnsi="Times New Roman" w:cs="Times New Roman"/>
          <w:sz w:val="24"/>
          <w:szCs w:val="24"/>
          <w:vertAlign w:val="superscript"/>
          <w:lang w:eastAsia="zh-CN"/>
        </w:rPr>
        <w:t>th</w:t>
      </w:r>
      <w:r w:rsidRPr="00F47D29">
        <w:rPr>
          <w:rFonts w:ascii="Times New Roman" w:eastAsia="MinionPro-Regular" w:hAnsi="Times New Roman" w:cs="Times New Roman"/>
          <w:sz w:val="24"/>
          <w:szCs w:val="24"/>
          <w:lang w:eastAsia="zh-CN"/>
        </w:rPr>
        <w:t xml:space="preserve"> 2020 produced $0.0104 of the organization’s net </w:t>
      </w:r>
      <w:r w:rsidR="009B4222" w:rsidRPr="00F47D29">
        <w:rPr>
          <w:rFonts w:ascii="Times New Roman" w:eastAsia="MinionPro-Regular" w:hAnsi="Times New Roman" w:cs="Times New Roman"/>
          <w:sz w:val="24"/>
          <w:szCs w:val="24"/>
          <w:lang w:eastAsia="zh-CN"/>
        </w:rPr>
        <w:t xml:space="preserve">income. This shows that Brinker is not managing its assets well as compared to fiscal year </w:t>
      </w:r>
      <w:r w:rsidR="00137854" w:rsidRPr="00F47D29">
        <w:rPr>
          <w:rFonts w:ascii="Times New Roman" w:eastAsia="MinionPro-Regular" w:hAnsi="Times New Roman" w:cs="Times New Roman"/>
          <w:sz w:val="24"/>
          <w:szCs w:val="24"/>
          <w:lang w:eastAsia="zh-CN"/>
        </w:rPr>
        <w:t>2019. For</w:t>
      </w:r>
      <w:r w:rsidR="009B4222" w:rsidRPr="00F47D29">
        <w:rPr>
          <w:rFonts w:ascii="Times New Roman" w:eastAsia="MinionPro-Regular" w:hAnsi="Times New Roman" w:cs="Times New Roman"/>
          <w:sz w:val="24"/>
          <w:szCs w:val="24"/>
          <w:lang w:eastAsia="zh-CN"/>
        </w:rPr>
        <w:t xml:space="preserve"> instance, company’s 2019</w:t>
      </w:r>
      <w:r w:rsidR="00137854" w:rsidRPr="00F47D29">
        <w:rPr>
          <w:rFonts w:ascii="Times New Roman" w:eastAsia="MinionPro-Regular" w:hAnsi="Times New Roman" w:cs="Times New Roman"/>
          <w:sz w:val="24"/>
          <w:szCs w:val="24"/>
          <w:lang w:eastAsia="zh-CN"/>
        </w:rPr>
        <w:t>-12-31 ROA</w:t>
      </w:r>
      <w:r w:rsidR="009B4222" w:rsidRPr="00F47D29">
        <w:rPr>
          <w:rFonts w:ascii="Times New Roman" w:eastAsia="MinionPro-Regular" w:hAnsi="Times New Roman" w:cs="Times New Roman"/>
          <w:sz w:val="24"/>
          <w:szCs w:val="24"/>
          <w:lang w:eastAsia="zh-CN"/>
        </w:rPr>
        <w:t xml:space="preserve"> was </w:t>
      </w:r>
      <w:r w:rsidR="00137854" w:rsidRPr="00F47D29">
        <w:rPr>
          <w:rFonts w:ascii="Times New Roman" w:eastAsia="MinionPro-Regular" w:hAnsi="Times New Roman" w:cs="Times New Roman"/>
          <w:sz w:val="24"/>
          <w:szCs w:val="24"/>
          <w:lang w:eastAsia="zh-CN"/>
        </w:rPr>
        <w:t>7.45%.</w:t>
      </w:r>
    </w:p>
    <w:p w:rsidR="00B961C1" w:rsidRPr="00F47D29" w:rsidRDefault="00137854" w:rsidP="00F47D29">
      <w:pPr>
        <w:spacing w:before="100" w:beforeAutospacing="1" w:after="120" w:line="480" w:lineRule="auto"/>
        <w:contextualSpacing/>
        <w:rPr>
          <w:rFonts w:ascii="Times New Roman" w:eastAsia="MinionPro-Regular" w:hAnsi="Times New Roman" w:cs="Times New Roman"/>
          <w:b/>
          <w:sz w:val="24"/>
          <w:szCs w:val="24"/>
          <w:lang w:eastAsia="zh-CN"/>
        </w:rPr>
      </w:pPr>
      <w:r w:rsidRPr="00F47D29">
        <w:rPr>
          <w:rFonts w:ascii="Times New Roman" w:eastAsia="MinionPro-Regular" w:hAnsi="Times New Roman" w:cs="Times New Roman"/>
          <w:b/>
          <w:sz w:val="24"/>
          <w:szCs w:val="24"/>
          <w:lang w:eastAsia="zh-CN"/>
        </w:rPr>
        <w:lastRenderedPageBreak/>
        <w:t>Return on equity (ROE)</w:t>
      </w:r>
    </w:p>
    <w:p w:rsidR="00137854" w:rsidRPr="00F47D29" w:rsidRDefault="00137854" w:rsidP="00F47D29">
      <w:pPr>
        <w:spacing w:before="100" w:beforeAutospacing="1" w:after="120" w:line="480" w:lineRule="auto"/>
        <w:ind w:firstLine="720"/>
        <w:contextualSpacing/>
        <w:rPr>
          <w:rFonts w:ascii="Times New Roman" w:eastAsia="MinionPro-Regular" w:hAnsi="Times New Roman" w:cs="Times New Roman"/>
          <w:sz w:val="24"/>
          <w:szCs w:val="24"/>
          <w:lang w:eastAsia="zh-CN"/>
        </w:rPr>
      </w:pPr>
      <w:r w:rsidRPr="00F47D29">
        <w:rPr>
          <w:rFonts w:ascii="Times New Roman" w:eastAsia="MinionPro-Regular" w:hAnsi="Times New Roman" w:cs="Times New Roman"/>
          <w:sz w:val="24"/>
          <w:szCs w:val="24"/>
          <w:lang w:eastAsia="zh-CN"/>
        </w:rPr>
        <w:t xml:space="preserve">ROE </w:t>
      </w:r>
      <w:r w:rsidR="000D3955" w:rsidRPr="00F47D29">
        <w:rPr>
          <w:rFonts w:ascii="Times New Roman" w:eastAsia="MinionPro-Regular" w:hAnsi="Times New Roman" w:cs="Times New Roman"/>
          <w:sz w:val="24"/>
          <w:szCs w:val="24"/>
          <w:lang w:eastAsia="zh-CN"/>
        </w:rPr>
        <w:t>refers to the amount of the company’s net income returned as the percentage of the shareholders’ equity</w:t>
      </w:r>
      <w:sdt>
        <w:sdtPr>
          <w:rPr>
            <w:rFonts w:ascii="Times New Roman" w:eastAsia="MinionPro-Regular" w:hAnsi="Times New Roman" w:cs="Times New Roman"/>
            <w:sz w:val="24"/>
            <w:szCs w:val="24"/>
            <w:lang w:eastAsia="zh-CN"/>
          </w:rPr>
          <w:id w:val="-855030696"/>
          <w:citation/>
        </w:sdtPr>
        <w:sdtContent>
          <w:r w:rsidR="004913E8">
            <w:rPr>
              <w:rFonts w:ascii="Times New Roman" w:eastAsia="MinionPro-Regular" w:hAnsi="Times New Roman" w:cs="Times New Roman"/>
              <w:sz w:val="24"/>
              <w:szCs w:val="24"/>
              <w:lang w:eastAsia="zh-CN"/>
            </w:rPr>
            <w:fldChar w:fldCharType="begin"/>
          </w:r>
          <w:r w:rsidR="004913E8">
            <w:rPr>
              <w:rFonts w:ascii="Times New Roman" w:eastAsia="MinionPro-Regular" w:hAnsi="Times New Roman" w:cs="Times New Roman"/>
              <w:sz w:val="24"/>
              <w:szCs w:val="24"/>
              <w:lang w:eastAsia="zh-CN"/>
            </w:rPr>
            <w:instrText xml:space="preserve"> CITATION Kha19 \l 1033 </w:instrText>
          </w:r>
          <w:r w:rsidR="004913E8">
            <w:rPr>
              <w:rFonts w:ascii="Times New Roman" w:eastAsia="MinionPro-Regular" w:hAnsi="Times New Roman" w:cs="Times New Roman"/>
              <w:sz w:val="24"/>
              <w:szCs w:val="24"/>
              <w:lang w:eastAsia="zh-CN"/>
            </w:rPr>
            <w:fldChar w:fldCharType="separate"/>
          </w:r>
          <w:r w:rsidR="004913E8">
            <w:rPr>
              <w:rFonts w:ascii="Times New Roman" w:eastAsia="MinionPro-Regular" w:hAnsi="Times New Roman" w:cs="Times New Roman"/>
              <w:noProof/>
              <w:sz w:val="24"/>
              <w:szCs w:val="24"/>
              <w:lang w:eastAsia="zh-CN"/>
            </w:rPr>
            <w:t xml:space="preserve"> </w:t>
          </w:r>
          <w:r w:rsidR="004913E8" w:rsidRPr="004913E8">
            <w:rPr>
              <w:rFonts w:ascii="Times New Roman" w:eastAsia="MinionPro-Regular" w:hAnsi="Times New Roman" w:cs="Times New Roman"/>
              <w:noProof/>
              <w:sz w:val="24"/>
              <w:szCs w:val="24"/>
              <w:lang w:eastAsia="zh-CN"/>
            </w:rPr>
            <w:t>(Khan, 2019)</w:t>
          </w:r>
          <w:r w:rsidR="004913E8">
            <w:rPr>
              <w:rFonts w:ascii="Times New Roman" w:eastAsia="MinionPro-Regular" w:hAnsi="Times New Roman" w:cs="Times New Roman"/>
              <w:sz w:val="24"/>
              <w:szCs w:val="24"/>
              <w:lang w:eastAsia="zh-CN"/>
            </w:rPr>
            <w:fldChar w:fldCharType="end"/>
          </w:r>
        </w:sdtContent>
      </w:sdt>
      <w:r w:rsidR="000D3955" w:rsidRPr="00F47D29">
        <w:rPr>
          <w:rFonts w:ascii="Times New Roman" w:eastAsia="MinionPro-Regular" w:hAnsi="Times New Roman" w:cs="Times New Roman"/>
          <w:sz w:val="24"/>
          <w:szCs w:val="24"/>
          <w:lang w:eastAsia="zh-CN"/>
        </w:rPr>
        <w:t xml:space="preserve">. This ratio usually determines the profitability of a company by showing the amount of money it generates with the investment of the shareholders. </w:t>
      </w:r>
    </w:p>
    <w:p w:rsidR="000D3955" w:rsidRPr="00F47D29" w:rsidRDefault="000D3955" w:rsidP="00F47D29">
      <w:pPr>
        <w:spacing w:before="100" w:beforeAutospacing="1" w:after="120" w:line="480" w:lineRule="auto"/>
        <w:contextualSpacing/>
        <w:rPr>
          <w:rFonts w:ascii="Times New Roman" w:eastAsia="MinionPro-Regular" w:hAnsi="Times New Roman" w:cs="Times New Roman"/>
          <w:sz w:val="24"/>
          <w:szCs w:val="24"/>
          <w:lang w:eastAsia="zh-CN"/>
        </w:rPr>
      </w:pPr>
      <w:r w:rsidRPr="00F47D29">
        <w:rPr>
          <w:rFonts w:ascii="Times New Roman" w:eastAsia="MinionPro-Regular" w:hAnsi="Times New Roman" w:cs="Times New Roman"/>
          <w:sz w:val="24"/>
          <w:szCs w:val="24"/>
          <w:lang w:eastAsia="zh-CN"/>
        </w:rPr>
        <w:t>ROE=</w:t>
      </w:r>
      <m:oMath>
        <m:f>
          <m:fPr>
            <m:ctrlPr>
              <w:rPr>
                <w:rFonts w:ascii="Cambria Math" w:eastAsia="MinionPro-Regular" w:hAnsi="Cambria Math" w:cs="Times New Roman"/>
                <w:i/>
                <w:sz w:val="24"/>
                <w:szCs w:val="24"/>
                <w:lang w:eastAsia="zh-CN"/>
              </w:rPr>
            </m:ctrlPr>
          </m:fPr>
          <m:num>
            <m:r>
              <w:rPr>
                <w:rFonts w:ascii="Cambria Math" w:eastAsia="MinionPro-Regular" w:hAnsi="Cambria Math" w:cs="Times New Roman"/>
                <w:sz w:val="24"/>
                <w:szCs w:val="24"/>
                <w:lang w:eastAsia="zh-CN"/>
              </w:rPr>
              <m:t xml:space="preserve">Net income </m:t>
            </m:r>
          </m:num>
          <m:den>
            <m:r>
              <w:rPr>
                <w:rFonts w:ascii="Cambria Math" w:eastAsia="MinionPro-Regular" w:hAnsi="Cambria Math" w:cs="Times New Roman"/>
                <w:sz w:val="24"/>
                <w:szCs w:val="24"/>
                <w:lang w:eastAsia="zh-CN"/>
              </w:rPr>
              <m:t xml:space="preserve">Average </m:t>
            </m:r>
            <m:r>
              <w:rPr>
                <w:rFonts w:ascii="Cambria Math" w:eastAsia="MinionPro-Regular" w:hAnsi="Cambria Math" w:cs="Times New Roman"/>
                <w:sz w:val="24"/>
                <w:szCs w:val="24"/>
                <w:lang w:eastAsia="zh-CN"/>
              </w:rPr>
              <m:t xml:space="preserve">Shareholders equity </m:t>
            </m:r>
          </m:den>
        </m:f>
      </m:oMath>
    </w:p>
    <w:p w:rsidR="00DA3346" w:rsidRPr="00F47D29" w:rsidRDefault="00DA3346" w:rsidP="00F47D29">
      <w:pPr>
        <w:spacing w:before="100" w:beforeAutospacing="1" w:after="120" w:line="480" w:lineRule="auto"/>
        <w:contextualSpacing/>
        <w:rPr>
          <w:rFonts w:ascii="Times New Roman" w:eastAsia="MinionPro-Regular" w:hAnsi="Times New Roman" w:cs="Times New Roman"/>
          <w:sz w:val="24"/>
          <w:szCs w:val="24"/>
          <w:lang w:eastAsia="zh-CN"/>
        </w:rPr>
      </w:pPr>
      <w:r w:rsidRPr="00F47D29">
        <w:rPr>
          <w:rFonts w:ascii="Times New Roman" w:eastAsia="MinionPro-Regular" w:hAnsi="Times New Roman" w:cs="Times New Roman"/>
          <w:sz w:val="24"/>
          <w:szCs w:val="24"/>
          <w:lang w:eastAsia="zh-CN"/>
        </w:rPr>
        <w:t xml:space="preserve">Brinker’s June 24, 2020 net income=$24.4 million </w:t>
      </w:r>
      <w:r w:rsidR="00463408" w:rsidRPr="00F47D29">
        <w:rPr>
          <w:rFonts w:ascii="Times New Roman" w:eastAsia="MinionPro-Regular" w:hAnsi="Times New Roman" w:cs="Times New Roman"/>
          <w:sz w:val="24"/>
          <w:szCs w:val="24"/>
          <w:lang w:eastAsia="zh-CN"/>
        </w:rPr>
        <w:t xml:space="preserve">and average </w:t>
      </w:r>
      <w:r w:rsidRPr="00F47D29">
        <w:rPr>
          <w:rFonts w:ascii="Times New Roman" w:eastAsia="MinionPro-Regular" w:hAnsi="Times New Roman" w:cs="Times New Roman"/>
          <w:sz w:val="24"/>
          <w:szCs w:val="24"/>
          <w:lang w:eastAsia="zh-CN"/>
        </w:rPr>
        <w:t>shareholders’ equity =</w:t>
      </w:r>
      <w:r w:rsidR="00463408" w:rsidRPr="00F47D29">
        <w:rPr>
          <w:rFonts w:ascii="Times New Roman" w:eastAsia="MinionPro-Regular" w:hAnsi="Times New Roman" w:cs="Times New Roman"/>
          <w:sz w:val="24"/>
          <w:szCs w:val="24"/>
          <w:lang w:eastAsia="zh-CN"/>
        </w:rPr>
        <w:t>l $-778 million (June 2019) +</w:t>
      </w:r>
      <w:r w:rsidRPr="00F47D29">
        <w:rPr>
          <w:rFonts w:ascii="Times New Roman" w:eastAsia="MinionPro-Regular" w:hAnsi="Times New Roman" w:cs="Times New Roman"/>
          <w:sz w:val="24"/>
          <w:szCs w:val="24"/>
          <w:lang w:eastAsia="zh-CN"/>
        </w:rPr>
        <w:t>$</w:t>
      </w:r>
      <w:r w:rsidR="00787227" w:rsidRPr="00F47D29">
        <w:rPr>
          <w:rFonts w:ascii="Times New Roman" w:eastAsia="MinionPro-Regular" w:hAnsi="Times New Roman" w:cs="Times New Roman"/>
          <w:sz w:val="24"/>
          <w:szCs w:val="24"/>
          <w:lang w:eastAsia="zh-CN"/>
        </w:rPr>
        <w:t xml:space="preserve">-479.1 </w:t>
      </w:r>
      <w:r w:rsidR="00463408" w:rsidRPr="00F47D29">
        <w:rPr>
          <w:rFonts w:ascii="Times New Roman" w:eastAsia="MinionPro-Regular" w:hAnsi="Times New Roman" w:cs="Times New Roman"/>
          <w:sz w:val="24"/>
          <w:szCs w:val="24"/>
          <w:lang w:eastAsia="zh-CN"/>
        </w:rPr>
        <w:t>million (June 2020]</w:t>
      </w:r>
      <w:r w:rsidR="00787227" w:rsidRPr="00F47D29">
        <w:rPr>
          <w:rFonts w:ascii="Times New Roman" w:eastAsia="MinionPro-Regular" w:hAnsi="Times New Roman" w:cs="Times New Roman"/>
          <w:sz w:val="24"/>
          <w:szCs w:val="24"/>
          <w:lang w:eastAsia="zh-CN"/>
        </w:rPr>
        <w:t xml:space="preserve"> </w:t>
      </w:r>
      <m:oMath>
        <m:r>
          <w:rPr>
            <w:rFonts w:ascii="Cambria Math" w:eastAsia="MinionPro-Regular" w:hAnsi="Cambria Math" w:cs="Times New Roman"/>
            <w:sz w:val="24"/>
            <w:szCs w:val="24"/>
            <w:lang w:eastAsia="zh-CN"/>
          </w:rPr>
          <m:t>÷2</m:t>
        </m:r>
      </m:oMath>
      <w:r w:rsidR="00463408" w:rsidRPr="00F47D29">
        <w:rPr>
          <w:rFonts w:ascii="Times New Roman" w:eastAsia="MinionPro-Regular" w:hAnsi="Times New Roman" w:cs="Times New Roman"/>
          <w:sz w:val="24"/>
          <w:szCs w:val="24"/>
          <w:lang w:eastAsia="zh-CN"/>
        </w:rPr>
        <w:t>=$-628.65</w:t>
      </w:r>
    </w:p>
    <w:p w:rsidR="00787227" w:rsidRPr="00F47D29" w:rsidRDefault="00787227" w:rsidP="00F47D29">
      <w:pPr>
        <w:spacing w:before="100" w:beforeAutospacing="1" w:after="120" w:line="480" w:lineRule="auto"/>
        <w:contextualSpacing/>
        <w:rPr>
          <w:rFonts w:ascii="Times New Roman" w:eastAsia="MinionPro-Regular" w:hAnsi="Times New Roman" w:cs="Times New Roman"/>
          <w:sz w:val="24"/>
          <w:szCs w:val="24"/>
          <w:lang w:eastAsia="zh-CN"/>
        </w:rPr>
      </w:pPr>
      <w:r w:rsidRPr="00F47D29">
        <w:rPr>
          <w:rFonts w:ascii="Times New Roman" w:eastAsia="MinionPro-Regular" w:hAnsi="Times New Roman" w:cs="Times New Roman"/>
          <w:sz w:val="24"/>
          <w:szCs w:val="24"/>
          <w:lang w:eastAsia="zh-CN"/>
        </w:rPr>
        <w:t>Brinker’s ROE=</w:t>
      </w:r>
      <m:oMath>
        <m:f>
          <m:fPr>
            <m:ctrlPr>
              <w:rPr>
                <w:rFonts w:ascii="Cambria Math" w:eastAsia="MinionPro-Regular" w:hAnsi="Cambria Math" w:cs="Times New Roman"/>
                <w:i/>
                <w:sz w:val="24"/>
                <w:szCs w:val="24"/>
                <w:lang w:eastAsia="zh-CN"/>
              </w:rPr>
            </m:ctrlPr>
          </m:fPr>
          <m:num>
            <m:r>
              <w:rPr>
                <w:rFonts w:ascii="Cambria Math" w:eastAsia="MinionPro-Regular" w:hAnsi="Cambria Math" w:cs="Times New Roman"/>
                <w:sz w:val="24"/>
                <w:szCs w:val="24"/>
                <w:lang w:eastAsia="zh-CN"/>
              </w:rPr>
              <m:t>24.4</m:t>
            </m:r>
          </m:num>
          <m:den>
            <m:r>
              <w:rPr>
                <w:rFonts w:ascii="Cambria Math" w:eastAsia="MinionPro-Regular" w:hAnsi="Cambria Math" w:cs="Times New Roman"/>
                <w:sz w:val="24"/>
                <w:szCs w:val="24"/>
                <w:lang w:eastAsia="zh-CN"/>
              </w:rPr>
              <m:t>-628.65</m:t>
            </m:r>
          </m:den>
        </m:f>
      </m:oMath>
      <w:r w:rsidR="00463408" w:rsidRPr="00F47D29">
        <w:rPr>
          <w:rFonts w:ascii="Times New Roman" w:eastAsia="MinionPro-Regular" w:hAnsi="Times New Roman" w:cs="Times New Roman"/>
          <w:sz w:val="24"/>
          <w:szCs w:val="24"/>
          <w:lang w:eastAsia="zh-CN"/>
        </w:rPr>
        <w:t>=N/A . Hence, Brinker International’s ROE ratio is 0.00% since</w:t>
      </w:r>
      <w:r w:rsidR="00D2459B" w:rsidRPr="00F47D29">
        <w:rPr>
          <w:rFonts w:ascii="Times New Roman" w:eastAsia="MinionPro-Regular" w:hAnsi="Times New Roman" w:cs="Times New Roman"/>
          <w:sz w:val="24"/>
          <w:szCs w:val="24"/>
          <w:lang w:eastAsia="zh-CN"/>
        </w:rPr>
        <w:t xml:space="preserve"> the company’s </w:t>
      </w:r>
      <w:r w:rsidR="007F10F0" w:rsidRPr="00F47D29">
        <w:rPr>
          <w:rFonts w:ascii="Times New Roman" w:eastAsia="MinionPro-Regular" w:hAnsi="Times New Roman" w:cs="Times New Roman"/>
          <w:sz w:val="24"/>
          <w:szCs w:val="24"/>
          <w:lang w:eastAsia="zh-CN"/>
        </w:rPr>
        <w:t>shareholders’</w:t>
      </w:r>
      <w:r w:rsidR="00D2459B" w:rsidRPr="00F47D29">
        <w:rPr>
          <w:rFonts w:ascii="Times New Roman" w:eastAsia="MinionPro-Regular" w:hAnsi="Times New Roman" w:cs="Times New Roman"/>
          <w:sz w:val="24"/>
          <w:szCs w:val="24"/>
          <w:lang w:eastAsia="zh-CN"/>
        </w:rPr>
        <w:t xml:space="preserve"> equity is a negative </w:t>
      </w:r>
      <w:r w:rsidR="007F10F0" w:rsidRPr="00F47D29">
        <w:rPr>
          <w:rFonts w:ascii="Times New Roman" w:eastAsia="MinionPro-Regular" w:hAnsi="Times New Roman" w:cs="Times New Roman"/>
          <w:sz w:val="24"/>
          <w:szCs w:val="24"/>
          <w:lang w:eastAsia="zh-CN"/>
        </w:rPr>
        <w:t xml:space="preserve">and this can affect the </w:t>
      </w:r>
      <w:r w:rsidR="00FF2CBB" w:rsidRPr="00F47D29">
        <w:rPr>
          <w:rFonts w:ascii="Times New Roman" w:eastAsia="MinionPro-Regular" w:hAnsi="Times New Roman" w:cs="Times New Roman"/>
          <w:sz w:val="24"/>
          <w:szCs w:val="24"/>
          <w:lang w:eastAsia="zh-CN"/>
        </w:rPr>
        <w:t>investors’</w:t>
      </w:r>
      <w:r w:rsidR="007F10F0" w:rsidRPr="00F47D29">
        <w:rPr>
          <w:rFonts w:ascii="Times New Roman" w:eastAsia="MinionPro-Regular" w:hAnsi="Times New Roman" w:cs="Times New Roman"/>
          <w:sz w:val="24"/>
          <w:szCs w:val="24"/>
          <w:lang w:eastAsia="zh-CN"/>
        </w:rPr>
        <w:t xml:space="preserve"> confidence.</w:t>
      </w:r>
    </w:p>
    <w:p w:rsidR="00FF2CBB" w:rsidRPr="00F47D29" w:rsidRDefault="00FF2CBB" w:rsidP="00F47D29">
      <w:pPr>
        <w:widowControl w:val="0"/>
        <w:autoSpaceDE w:val="0"/>
        <w:autoSpaceDN w:val="0"/>
        <w:adjustRightInd w:val="0"/>
        <w:spacing w:after="0" w:line="480" w:lineRule="auto"/>
        <w:jc w:val="center"/>
        <w:rPr>
          <w:rFonts w:ascii="Times New Roman" w:eastAsia="MinionPro-Regular" w:hAnsi="Times New Roman" w:cs="Times New Roman"/>
          <w:sz w:val="24"/>
          <w:szCs w:val="24"/>
          <w:lang w:eastAsia="zh-CN"/>
        </w:rPr>
      </w:pPr>
      <w:r w:rsidRPr="00F47D29">
        <w:rPr>
          <w:rFonts w:ascii="Times New Roman" w:eastAsia="MinionPro-Regular" w:hAnsi="Times New Roman" w:cs="Times New Roman"/>
          <w:sz w:val="24"/>
          <w:szCs w:val="24"/>
          <w:lang w:eastAsia="zh-CN"/>
        </w:rPr>
        <w:t>C.  Calculate the projected inventory turnover, days sales outstanding (DSO), fixed assets</w:t>
      </w:r>
    </w:p>
    <w:p w:rsidR="00FF2CBB" w:rsidRPr="00F47D29" w:rsidRDefault="00FF2CBB" w:rsidP="00F47D29">
      <w:pPr>
        <w:widowControl w:val="0"/>
        <w:autoSpaceDE w:val="0"/>
        <w:autoSpaceDN w:val="0"/>
        <w:adjustRightInd w:val="0"/>
        <w:spacing w:after="0" w:line="480" w:lineRule="auto"/>
        <w:jc w:val="center"/>
        <w:rPr>
          <w:rFonts w:ascii="Times New Roman" w:eastAsia="MinionPro-Regular" w:hAnsi="Times New Roman" w:cs="Times New Roman"/>
          <w:sz w:val="24"/>
          <w:szCs w:val="24"/>
          <w:lang w:eastAsia="zh-CN"/>
        </w:rPr>
      </w:pPr>
      <w:r w:rsidRPr="00F47D29">
        <w:rPr>
          <w:rFonts w:ascii="Times New Roman" w:eastAsia="MinionPro-Regular" w:hAnsi="Times New Roman" w:cs="Times New Roman"/>
          <w:sz w:val="24"/>
          <w:szCs w:val="24"/>
          <w:lang w:eastAsia="zh-CN"/>
        </w:rPr>
        <w:t>turnover, and total assets turnover. How does Compton’s utilization of assets stack up against that of other firms in its industry?</w:t>
      </w:r>
    </w:p>
    <w:p w:rsidR="00572B76" w:rsidRPr="00F47D29" w:rsidRDefault="00FF2CBB" w:rsidP="00F47D29">
      <w:pPr>
        <w:spacing w:line="480" w:lineRule="auto"/>
        <w:rPr>
          <w:rFonts w:ascii="Times New Roman" w:eastAsia="MinionPro-Regular" w:hAnsi="Times New Roman" w:cs="Times New Roman"/>
          <w:b/>
          <w:sz w:val="24"/>
          <w:szCs w:val="24"/>
          <w:lang w:eastAsia="zh-CN"/>
        </w:rPr>
      </w:pPr>
      <w:r w:rsidRPr="00F47D29">
        <w:rPr>
          <w:rFonts w:ascii="Times New Roman" w:eastAsia="MinionPro-Regular" w:hAnsi="Times New Roman" w:cs="Times New Roman"/>
          <w:b/>
          <w:sz w:val="24"/>
          <w:szCs w:val="24"/>
          <w:lang w:eastAsia="zh-CN"/>
        </w:rPr>
        <w:t>Inventory turnover</w:t>
      </w:r>
    </w:p>
    <w:p w:rsidR="00FF2CBB" w:rsidRPr="00F47D29" w:rsidRDefault="00FF2CBB" w:rsidP="00F47D29">
      <w:pPr>
        <w:spacing w:line="480" w:lineRule="auto"/>
        <w:ind w:firstLine="720"/>
        <w:rPr>
          <w:rFonts w:ascii="Times New Roman" w:eastAsia="MinionPro-Regular" w:hAnsi="Times New Roman" w:cs="Times New Roman"/>
          <w:sz w:val="24"/>
          <w:szCs w:val="24"/>
          <w:lang w:eastAsia="zh-CN"/>
        </w:rPr>
      </w:pPr>
      <w:r w:rsidRPr="00F47D29">
        <w:rPr>
          <w:rFonts w:ascii="Times New Roman" w:eastAsia="MinionPro-Regular" w:hAnsi="Times New Roman" w:cs="Times New Roman"/>
          <w:sz w:val="24"/>
          <w:szCs w:val="24"/>
          <w:lang w:eastAsia="zh-CN"/>
        </w:rPr>
        <w:t xml:space="preserve">Inventory turnover ratio is defined as a metric </w:t>
      </w:r>
      <w:r w:rsidR="004D2B8C" w:rsidRPr="00F47D29">
        <w:rPr>
          <w:rFonts w:ascii="Times New Roman" w:eastAsia="MinionPro-Regular" w:hAnsi="Times New Roman" w:cs="Times New Roman"/>
          <w:sz w:val="24"/>
          <w:szCs w:val="24"/>
          <w:lang w:eastAsia="zh-CN"/>
        </w:rPr>
        <w:t>that measures the ability of an organization replace and sell its inventory</w:t>
      </w:r>
      <w:r w:rsidR="00572B76" w:rsidRPr="00F47D29">
        <w:rPr>
          <w:rFonts w:ascii="Times New Roman" w:eastAsia="MinionPro-Regular" w:hAnsi="Times New Roman" w:cs="Times New Roman"/>
          <w:sz w:val="24"/>
          <w:szCs w:val="24"/>
          <w:lang w:eastAsia="zh-CN"/>
        </w:rPr>
        <w:t>. Decreasing inventory turnover ratio indicates that the company’s inventory is building up. On the other hand, the high inventory turnover ratio implies that the organization is able to sell its inventory in the short time.</w:t>
      </w:r>
    </w:p>
    <w:p w:rsidR="00987475" w:rsidRPr="00F47D29" w:rsidRDefault="00987475" w:rsidP="00F47D29">
      <w:pPr>
        <w:spacing w:line="480" w:lineRule="auto"/>
        <w:ind w:firstLine="720"/>
        <w:rPr>
          <w:rFonts w:ascii="Times New Roman" w:eastAsia="MinionPro-Regular" w:hAnsi="Times New Roman" w:cs="Times New Roman"/>
          <w:b/>
          <w:sz w:val="24"/>
          <w:szCs w:val="24"/>
          <w:lang w:eastAsia="zh-CN"/>
        </w:rPr>
      </w:pPr>
      <w:r w:rsidRPr="00F47D29">
        <w:rPr>
          <w:rFonts w:ascii="Times New Roman" w:eastAsia="MinionPro-Regular" w:hAnsi="Times New Roman" w:cs="Times New Roman"/>
          <w:sz w:val="24"/>
          <w:szCs w:val="24"/>
          <w:lang w:eastAsia="zh-CN"/>
        </w:rPr>
        <w:t>Inventory turnover=</w:t>
      </w:r>
      <m:oMath>
        <m:f>
          <m:fPr>
            <m:ctrlPr>
              <w:rPr>
                <w:rFonts w:ascii="Cambria Math" w:eastAsia="MinionPro-Regular" w:hAnsi="Cambria Math" w:cs="Times New Roman"/>
                <w:i/>
                <w:sz w:val="24"/>
                <w:szCs w:val="24"/>
                <w:lang w:eastAsia="zh-CN"/>
              </w:rPr>
            </m:ctrlPr>
          </m:fPr>
          <m:num>
            <m:r>
              <w:rPr>
                <w:rFonts w:ascii="Cambria Math" w:eastAsia="MinionPro-Regular" w:hAnsi="Cambria Math" w:cs="Times New Roman"/>
                <w:sz w:val="24"/>
                <w:szCs w:val="24"/>
                <w:lang w:eastAsia="zh-CN"/>
              </w:rPr>
              <m:t>Cost of Goods Sold(COGS)</m:t>
            </m:r>
          </m:num>
          <m:den>
            <m:r>
              <w:rPr>
                <w:rFonts w:ascii="Cambria Math" w:eastAsia="MinionPro-Regular" w:hAnsi="Cambria Math" w:cs="Times New Roman"/>
                <w:sz w:val="24"/>
                <w:szCs w:val="24"/>
                <w:lang w:eastAsia="zh-CN"/>
              </w:rPr>
              <m:t xml:space="preserve">Average Inventory </m:t>
            </m:r>
          </m:den>
        </m:f>
      </m:oMath>
    </w:p>
    <w:p w:rsidR="00FF2CBB" w:rsidRPr="00F47D29" w:rsidRDefault="002418D5" w:rsidP="00F47D29">
      <w:pPr>
        <w:spacing w:before="100" w:beforeAutospacing="1" w:after="120" w:line="480" w:lineRule="auto"/>
        <w:contextualSpacing/>
        <w:rPr>
          <w:rFonts w:ascii="Times New Roman" w:eastAsia="MinionPro-Regular" w:hAnsi="Times New Roman" w:cs="Times New Roman"/>
          <w:sz w:val="24"/>
          <w:szCs w:val="24"/>
          <w:lang w:eastAsia="zh-CN"/>
        </w:rPr>
      </w:pPr>
      <w:r w:rsidRPr="00F47D29">
        <w:rPr>
          <w:rFonts w:ascii="Times New Roman" w:eastAsia="MinionPro-Regular" w:hAnsi="Times New Roman" w:cs="Times New Roman"/>
          <w:sz w:val="24"/>
          <w:szCs w:val="24"/>
          <w:lang w:eastAsia="zh-CN"/>
        </w:rPr>
        <w:t>Brinker’s cost of goods sold(total operating costs and expenses =$3,015.9 million and average inventor=</w:t>
      </w:r>
      <m:oMath>
        <m:f>
          <m:fPr>
            <m:ctrlPr>
              <w:rPr>
                <w:rFonts w:ascii="Cambria Math" w:eastAsia="MinionPro-Regular" w:hAnsi="Cambria Math" w:cs="Times New Roman"/>
                <w:i/>
                <w:sz w:val="24"/>
                <w:szCs w:val="24"/>
                <w:lang w:eastAsia="zh-CN"/>
              </w:rPr>
            </m:ctrlPr>
          </m:fPr>
          <m:num>
            <m:r>
              <w:rPr>
                <w:rFonts w:ascii="Cambria Math" w:eastAsia="MinionPro-Regular" w:hAnsi="Cambria Math" w:cs="Times New Roman"/>
                <w:sz w:val="24"/>
                <w:szCs w:val="24"/>
                <w:lang w:eastAsia="zh-CN"/>
              </w:rPr>
              <m:t>27.3+23.2</m:t>
            </m:r>
          </m:num>
          <m:den>
            <m:r>
              <w:rPr>
                <w:rFonts w:ascii="Cambria Math" w:eastAsia="MinionPro-Regular" w:hAnsi="Cambria Math" w:cs="Times New Roman"/>
                <w:sz w:val="24"/>
                <w:szCs w:val="24"/>
                <w:lang w:eastAsia="zh-CN"/>
              </w:rPr>
              <m:t>2</m:t>
            </m:r>
          </m:den>
        </m:f>
        <m:r>
          <w:rPr>
            <w:rFonts w:ascii="Cambria Math" w:eastAsia="MinionPro-Regular" w:hAnsi="Cambria Math" w:cs="Times New Roman"/>
            <w:sz w:val="24"/>
            <w:szCs w:val="24"/>
            <w:lang w:eastAsia="zh-CN"/>
          </w:rPr>
          <m:t xml:space="preserve">=$25.25 million </m:t>
        </m:r>
      </m:oMath>
    </w:p>
    <w:p w:rsidR="0014428F" w:rsidRPr="00F47D29" w:rsidRDefault="00DC045C" w:rsidP="00F47D29">
      <w:pPr>
        <w:spacing w:before="100" w:beforeAutospacing="1" w:after="120" w:line="480" w:lineRule="auto"/>
        <w:ind w:firstLine="720"/>
        <w:contextualSpacing/>
        <w:rPr>
          <w:rFonts w:ascii="Times New Roman" w:eastAsia="MinionPro-Regular" w:hAnsi="Times New Roman" w:cs="Times New Roman"/>
          <w:sz w:val="24"/>
          <w:szCs w:val="24"/>
          <w:lang w:eastAsia="zh-CN"/>
        </w:rPr>
      </w:pPr>
      <w:r w:rsidRPr="00F47D29">
        <w:rPr>
          <w:rFonts w:ascii="Times New Roman" w:eastAsia="MinionPro-Regular" w:hAnsi="Times New Roman" w:cs="Times New Roman"/>
          <w:sz w:val="24"/>
          <w:szCs w:val="24"/>
          <w:lang w:eastAsia="zh-CN"/>
        </w:rPr>
        <w:lastRenderedPageBreak/>
        <w:t>Brinker’s Inventory turnover=</w:t>
      </w:r>
      <m:oMath>
        <m:f>
          <m:fPr>
            <m:ctrlPr>
              <w:rPr>
                <w:rFonts w:ascii="Cambria Math" w:eastAsia="MinionPro-Regular" w:hAnsi="Cambria Math" w:cs="Times New Roman"/>
                <w:i/>
                <w:sz w:val="24"/>
                <w:szCs w:val="24"/>
                <w:lang w:eastAsia="zh-CN"/>
              </w:rPr>
            </m:ctrlPr>
          </m:fPr>
          <m:num>
            <m:r>
              <w:rPr>
                <w:rFonts w:ascii="Cambria Math" w:eastAsia="MinionPro-Regular" w:hAnsi="Cambria Math" w:cs="Times New Roman"/>
                <w:sz w:val="24"/>
                <w:szCs w:val="24"/>
                <w:lang w:eastAsia="zh-CN"/>
              </w:rPr>
              <m:t>3015.9</m:t>
            </m:r>
          </m:num>
          <m:den>
            <m:r>
              <w:rPr>
                <w:rFonts w:ascii="Cambria Math" w:eastAsia="MinionPro-Regular" w:hAnsi="Cambria Math" w:cs="Times New Roman"/>
                <w:sz w:val="24"/>
                <w:szCs w:val="24"/>
                <w:lang w:eastAsia="zh-CN"/>
              </w:rPr>
              <m:t>25.25</m:t>
            </m:r>
          </m:den>
        </m:f>
        <m:r>
          <w:rPr>
            <w:rFonts w:ascii="Cambria Math" w:eastAsia="MinionPro-Regular" w:hAnsi="Cambria Math" w:cs="Times New Roman"/>
            <w:sz w:val="24"/>
            <w:szCs w:val="24"/>
            <w:lang w:eastAsia="zh-CN"/>
          </w:rPr>
          <m:t>=119.4</m:t>
        </m:r>
      </m:oMath>
      <w:r w:rsidR="00097088" w:rsidRPr="00F47D29">
        <w:rPr>
          <w:rFonts w:ascii="Times New Roman" w:eastAsia="MinionPro-Regular" w:hAnsi="Times New Roman" w:cs="Times New Roman"/>
          <w:sz w:val="24"/>
          <w:szCs w:val="24"/>
          <w:lang w:eastAsia="zh-CN"/>
        </w:rPr>
        <w:t>.</w:t>
      </w:r>
      <w:r w:rsidR="0014428F" w:rsidRPr="00F47D29">
        <w:rPr>
          <w:rFonts w:ascii="Times New Roman" w:eastAsia="MinionPro-Regular" w:hAnsi="Times New Roman" w:cs="Times New Roman"/>
          <w:sz w:val="24"/>
          <w:szCs w:val="24"/>
          <w:lang w:eastAsia="zh-CN"/>
        </w:rPr>
        <w:t>The inventory turnover ratio of 119.4 is high indicating that Brinker International is able to sell its inventory in the short period.</w:t>
      </w:r>
    </w:p>
    <w:p w:rsidR="00322791" w:rsidRPr="00F47D29" w:rsidRDefault="00322791" w:rsidP="00F47D29">
      <w:pPr>
        <w:spacing w:before="100" w:beforeAutospacing="1" w:after="120" w:line="480" w:lineRule="auto"/>
        <w:contextualSpacing/>
        <w:rPr>
          <w:rFonts w:ascii="Times New Roman" w:eastAsia="MinionPro-Regular" w:hAnsi="Times New Roman" w:cs="Times New Roman"/>
          <w:b/>
          <w:sz w:val="24"/>
          <w:szCs w:val="24"/>
          <w:lang w:eastAsia="zh-CN"/>
        </w:rPr>
      </w:pPr>
      <w:r w:rsidRPr="00F47D29">
        <w:rPr>
          <w:rFonts w:ascii="Times New Roman" w:eastAsia="MinionPro-Regular" w:hAnsi="Times New Roman" w:cs="Times New Roman"/>
          <w:b/>
          <w:sz w:val="24"/>
          <w:szCs w:val="24"/>
          <w:lang w:eastAsia="zh-CN"/>
        </w:rPr>
        <w:t>Days sales outstanding (DSO)</w:t>
      </w:r>
    </w:p>
    <w:p w:rsidR="00745AB5" w:rsidRPr="00F47D29" w:rsidRDefault="00322791" w:rsidP="00F47D29">
      <w:pPr>
        <w:spacing w:before="100" w:beforeAutospacing="1" w:after="120" w:line="480" w:lineRule="auto"/>
        <w:ind w:firstLine="720"/>
        <w:contextualSpacing/>
        <w:rPr>
          <w:rFonts w:ascii="Times New Roman" w:eastAsia="MinionPro-Regular" w:hAnsi="Times New Roman" w:cs="Times New Roman"/>
          <w:sz w:val="24"/>
          <w:szCs w:val="24"/>
          <w:lang w:eastAsia="zh-CN"/>
        </w:rPr>
      </w:pPr>
      <w:r w:rsidRPr="00F47D29">
        <w:rPr>
          <w:rFonts w:ascii="Times New Roman" w:eastAsia="MinionPro-Regular" w:hAnsi="Times New Roman" w:cs="Times New Roman"/>
          <w:sz w:val="24"/>
          <w:szCs w:val="24"/>
          <w:lang w:eastAsia="zh-CN"/>
        </w:rPr>
        <w:t xml:space="preserve">Days sales outstanding (DSO) is a financial metric </w:t>
      </w:r>
      <w:r w:rsidR="00097088" w:rsidRPr="00F47D29">
        <w:rPr>
          <w:rFonts w:ascii="Times New Roman" w:eastAsia="MinionPro-Regular" w:hAnsi="Times New Roman" w:cs="Times New Roman"/>
          <w:sz w:val="24"/>
          <w:szCs w:val="24"/>
          <w:lang w:eastAsia="zh-CN"/>
        </w:rPr>
        <w:t>that determines the number of days the organization takes to collect its revenues after sales have been made. Therefore, DSO indicates how well the organization manages its</w:t>
      </w:r>
      <w:r w:rsidR="00745AB5" w:rsidRPr="00F47D29">
        <w:rPr>
          <w:rFonts w:ascii="Times New Roman" w:eastAsia="MinionPro-Regular" w:hAnsi="Times New Roman" w:cs="Times New Roman"/>
          <w:sz w:val="24"/>
          <w:szCs w:val="24"/>
          <w:lang w:eastAsia="zh-CN"/>
        </w:rPr>
        <w:t xml:space="preserve"> accounts</w:t>
      </w:r>
      <w:r w:rsidR="00097088" w:rsidRPr="00F47D29">
        <w:rPr>
          <w:rFonts w:ascii="Times New Roman" w:eastAsia="MinionPro-Regular" w:hAnsi="Times New Roman" w:cs="Times New Roman"/>
          <w:sz w:val="24"/>
          <w:szCs w:val="24"/>
          <w:lang w:eastAsia="zh-CN"/>
        </w:rPr>
        <w:t xml:space="preserve"> receivables</w:t>
      </w:r>
      <w:r w:rsidR="00745AB5" w:rsidRPr="00F47D29">
        <w:rPr>
          <w:rFonts w:ascii="Times New Roman" w:eastAsia="MinionPro-Regular" w:hAnsi="Times New Roman" w:cs="Times New Roman"/>
          <w:sz w:val="24"/>
          <w:szCs w:val="24"/>
          <w:lang w:eastAsia="zh-CN"/>
        </w:rPr>
        <w:t>.</w:t>
      </w:r>
    </w:p>
    <w:p w:rsidR="00322791" w:rsidRPr="00F47D29" w:rsidRDefault="00745AB5" w:rsidP="00F47D29">
      <w:pPr>
        <w:spacing w:before="100" w:beforeAutospacing="1" w:after="120" w:line="480" w:lineRule="auto"/>
        <w:ind w:firstLine="720"/>
        <w:contextualSpacing/>
        <w:rPr>
          <w:rFonts w:ascii="Times New Roman" w:eastAsia="MinionPro-Regular" w:hAnsi="Times New Roman" w:cs="Times New Roman"/>
          <w:sz w:val="24"/>
          <w:szCs w:val="24"/>
          <w:lang w:eastAsia="zh-CN"/>
        </w:rPr>
      </w:pPr>
      <w:r w:rsidRPr="00F47D29">
        <w:rPr>
          <w:rFonts w:ascii="Times New Roman" w:eastAsia="MinionPro-Regular" w:hAnsi="Times New Roman" w:cs="Times New Roman"/>
          <w:sz w:val="24"/>
          <w:szCs w:val="24"/>
          <w:lang w:eastAsia="zh-CN"/>
        </w:rPr>
        <w:t>DSO=</w:t>
      </w:r>
      <m:oMath>
        <m:f>
          <m:fPr>
            <m:ctrlPr>
              <w:rPr>
                <w:rFonts w:ascii="Cambria Math" w:eastAsia="MinionPro-Regular" w:hAnsi="Cambria Math" w:cs="Times New Roman"/>
                <w:i/>
                <w:sz w:val="24"/>
                <w:szCs w:val="24"/>
                <w:lang w:eastAsia="zh-CN"/>
              </w:rPr>
            </m:ctrlPr>
          </m:fPr>
          <m:num>
            <m:r>
              <w:rPr>
                <w:rFonts w:ascii="Cambria Math" w:eastAsia="MinionPro-Regular" w:hAnsi="Cambria Math" w:cs="Times New Roman"/>
                <w:sz w:val="24"/>
                <w:szCs w:val="24"/>
                <w:lang w:eastAsia="zh-CN"/>
              </w:rPr>
              <m:t>Accounts Receivable</m:t>
            </m:r>
          </m:num>
          <m:den>
            <m:r>
              <w:rPr>
                <w:rFonts w:ascii="Cambria Math" w:eastAsia="MinionPro-Regular" w:hAnsi="Cambria Math" w:cs="Times New Roman"/>
                <w:sz w:val="24"/>
                <w:szCs w:val="24"/>
                <w:lang w:eastAsia="zh-CN"/>
              </w:rPr>
              <m:t>Revenue</m:t>
            </m:r>
          </m:den>
        </m:f>
        <m:r>
          <w:rPr>
            <w:rFonts w:ascii="Cambria Math" w:eastAsia="MinionPro-Regular" w:hAnsi="Cambria Math" w:cs="Times New Roman"/>
            <w:sz w:val="24"/>
            <w:szCs w:val="24"/>
            <w:lang w:eastAsia="zh-CN"/>
          </w:rPr>
          <m:t>×365 days</m:t>
        </m:r>
      </m:oMath>
      <w:r w:rsidR="00097088" w:rsidRPr="00F47D29">
        <w:rPr>
          <w:rFonts w:ascii="Times New Roman" w:eastAsia="MinionPro-Regular" w:hAnsi="Times New Roman" w:cs="Times New Roman"/>
          <w:sz w:val="24"/>
          <w:szCs w:val="24"/>
          <w:lang w:eastAsia="zh-CN"/>
        </w:rPr>
        <w:t xml:space="preserve">  </w:t>
      </w:r>
    </w:p>
    <w:p w:rsidR="00745AB5" w:rsidRPr="00F47D29" w:rsidRDefault="00745AB5" w:rsidP="00F47D29">
      <w:pPr>
        <w:spacing w:before="100" w:beforeAutospacing="1" w:after="120" w:line="480" w:lineRule="auto"/>
        <w:ind w:firstLine="720"/>
        <w:contextualSpacing/>
        <w:rPr>
          <w:rFonts w:ascii="Times New Roman" w:eastAsia="MinionPro-Regular" w:hAnsi="Times New Roman" w:cs="Times New Roman"/>
          <w:sz w:val="24"/>
          <w:szCs w:val="24"/>
          <w:lang w:eastAsia="zh-CN"/>
        </w:rPr>
      </w:pPr>
      <w:r w:rsidRPr="00F47D29">
        <w:rPr>
          <w:rFonts w:ascii="Times New Roman" w:eastAsia="MinionPro-Regular" w:hAnsi="Times New Roman" w:cs="Times New Roman"/>
          <w:sz w:val="24"/>
          <w:szCs w:val="24"/>
          <w:lang w:eastAsia="zh-CN"/>
        </w:rPr>
        <w:t>DSO for Brinker International for the fiscal year ended 2020 June is calculated as follows:</w:t>
      </w:r>
    </w:p>
    <w:p w:rsidR="008B023F" w:rsidRPr="00F47D29" w:rsidRDefault="008B023F" w:rsidP="00F47D29">
      <w:pPr>
        <w:spacing w:before="100" w:beforeAutospacing="1" w:after="120" w:line="480" w:lineRule="auto"/>
        <w:ind w:firstLine="720"/>
        <w:contextualSpacing/>
        <w:rPr>
          <w:rFonts w:ascii="Times New Roman" w:eastAsia="MinionPro-Regular" w:hAnsi="Times New Roman" w:cs="Times New Roman"/>
          <w:sz w:val="24"/>
          <w:szCs w:val="24"/>
          <w:lang w:eastAsia="zh-CN"/>
        </w:rPr>
      </w:pPr>
      <w:r w:rsidRPr="00F47D29">
        <w:rPr>
          <w:rFonts w:ascii="Times New Roman" w:eastAsia="MinionPro-Regular" w:hAnsi="Times New Roman" w:cs="Times New Roman"/>
          <w:sz w:val="24"/>
          <w:szCs w:val="24"/>
          <w:lang w:eastAsia="zh-CN"/>
        </w:rPr>
        <w:t>Brinker International’s DSO=</w:t>
      </w:r>
      <m:oMath>
        <m:f>
          <m:fPr>
            <m:ctrlPr>
              <w:rPr>
                <w:rFonts w:ascii="Cambria Math" w:eastAsia="MinionPro-Regular" w:hAnsi="Cambria Math" w:cs="Times New Roman"/>
                <w:i/>
                <w:sz w:val="24"/>
                <w:szCs w:val="24"/>
                <w:lang w:eastAsia="zh-CN"/>
              </w:rPr>
            </m:ctrlPr>
          </m:fPr>
          <m:num>
            <m:r>
              <w:rPr>
                <w:rFonts w:ascii="Cambria Math" w:eastAsia="MinionPro-Regular" w:hAnsi="Cambria Math" w:cs="Times New Roman"/>
                <w:sz w:val="24"/>
                <w:szCs w:val="24"/>
                <w:lang w:eastAsia="zh-CN"/>
              </w:rPr>
              <m:t>52.3</m:t>
            </m:r>
          </m:num>
          <m:den>
            <m:r>
              <w:rPr>
                <w:rFonts w:ascii="Cambria Math" w:eastAsia="MinionPro-Regular" w:hAnsi="Cambria Math" w:cs="Times New Roman"/>
                <w:sz w:val="24"/>
                <w:szCs w:val="24"/>
                <w:lang w:eastAsia="zh-CN"/>
              </w:rPr>
              <m:t>3078.5</m:t>
            </m:r>
          </m:den>
        </m:f>
        <m:r>
          <w:rPr>
            <w:rFonts w:ascii="Cambria Math" w:eastAsia="MinionPro-Regular" w:hAnsi="Cambria Math" w:cs="Times New Roman"/>
            <w:sz w:val="24"/>
            <w:szCs w:val="24"/>
            <w:lang w:eastAsia="zh-CN"/>
          </w:rPr>
          <m:t>×365=6.19</m:t>
        </m:r>
      </m:oMath>
    </w:p>
    <w:p w:rsidR="00522C81" w:rsidRPr="00F47D29" w:rsidRDefault="00522C81" w:rsidP="00F47D29">
      <w:pPr>
        <w:spacing w:before="100" w:beforeAutospacing="1" w:after="120" w:line="480" w:lineRule="auto"/>
        <w:contextualSpacing/>
        <w:rPr>
          <w:rFonts w:ascii="Times New Roman" w:eastAsia="MinionPro-Regular" w:hAnsi="Times New Roman" w:cs="Times New Roman"/>
          <w:b/>
          <w:sz w:val="24"/>
          <w:szCs w:val="24"/>
          <w:lang w:eastAsia="zh-CN"/>
        </w:rPr>
      </w:pPr>
      <w:r w:rsidRPr="00F47D29">
        <w:rPr>
          <w:rFonts w:ascii="Times New Roman" w:eastAsia="MinionPro-Regular" w:hAnsi="Times New Roman" w:cs="Times New Roman"/>
          <w:b/>
          <w:sz w:val="24"/>
          <w:szCs w:val="24"/>
          <w:lang w:eastAsia="zh-CN"/>
        </w:rPr>
        <w:t>Total assets turnover</w:t>
      </w:r>
    </w:p>
    <w:p w:rsidR="00251F60" w:rsidRPr="00F47D29" w:rsidRDefault="00251F60" w:rsidP="00F47D29">
      <w:pPr>
        <w:spacing w:before="100" w:beforeAutospacing="1" w:after="120" w:line="480" w:lineRule="auto"/>
        <w:contextualSpacing/>
        <w:rPr>
          <w:rFonts w:ascii="Times New Roman" w:eastAsia="MinionPro-Regular" w:hAnsi="Times New Roman" w:cs="Times New Roman"/>
          <w:sz w:val="24"/>
          <w:szCs w:val="24"/>
          <w:lang w:eastAsia="zh-CN"/>
        </w:rPr>
      </w:pPr>
      <w:r w:rsidRPr="00F47D29">
        <w:rPr>
          <w:rFonts w:ascii="Times New Roman" w:eastAsia="MinionPro-Regular" w:hAnsi="Times New Roman" w:cs="Times New Roman"/>
          <w:sz w:val="24"/>
          <w:szCs w:val="24"/>
          <w:lang w:eastAsia="zh-CN"/>
        </w:rPr>
        <w:t>Asset turnover ratio is a financial metric that measures how the organization quickly turns over its current and fixed assets through sales.</w:t>
      </w:r>
    </w:p>
    <w:p w:rsidR="00251F60" w:rsidRPr="00F47D29" w:rsidRDefault="00251F60" w:rsidP="00F47D29">
      <w:pPr>
        <w:spacing w:before="100" w:beforeAutospacing="1" w:after="120" w:line="480" w:lineRule="auto"/>
        <w:contextualSpacing/>
        <w:rPr>
          <w:rFonts w:ascii="Times New Roman" w:eastAsia="MinionPro-Regular" w:hAnsi="Times New Roman" w:cs="Times New Roman"/>
          <w:sz w:val="24"/>
          <w:szCs w:val="24"/>
          <w:lang w:eastAsia="zh-CN"/>
        </w:rPr>
      </w:pPr>
      <w:r w:rsidRPr="00F47D29">
        <w:rPr>
          <w:rFonts w:ascii="Times New Roman" w:eastAsia="MinionPro-Regular" w:hAnsi="Times New Roman" w:cs="Times New Roman"/>
          <w:sz w:val="24"/>
          <w:szCs w:val="24"/>
          <w:lang w:eastAsia="zh-CN"/>
        </w:rPr>
        <w:t>Total asset turnover=</w:t>
      </w:r>
      <m:oMath>
        <m:f>
          <m:fPr>
            <m:ctrlPr>
              <w:rPr>
                <w:rFonts w:ascii="Cambria Math" w:eastAsia="MinionPro-Regular" w:hAnsi="Cambria Math" w:cs="Times New Roman"/>
                <w:i/>
                <w:sz w:val="24"/>
                <w:szCs w:val="24"/>
                <w:lang w:eastAsia="zh-CN"/>
              </w:rPr>
            </m:ctrlPr>
          </m:fPr>
          <m:num>
            <m:r>
              <w:rPr>
                <w:rFonts w:ascii="Cambria Math" w:eastAsia="MinionPro-Regular" w:hAnsi="Cambria Math" w:cs="Times New Roman"/>
                <w:sz w:val="24"/>
                <w:szCs w:val="24"/>
                <w:lang w:eastAsia="zh-CN"/>
              </w:rPr>
              <m:t>Revenue</m:t>
            </m:r>
          </m:num>
          <m:den>
            <m:r>
              <w:rPr>
                <w:rFonts w:ascii="Cambria Math" w:eastAsia="MinionPro-Regular" w:hAnsi="Cambria Math" w:cs="Times New Roman"/>
                <w:sz w:val="24"/>
                <w:szCs w:val="24"/>
                <w:lang w:eastAsia="zh-CN"/>
              </w:rPr>
              <m:t>Average Total Assets</m:t>
            </m:r>
          </m:den>
        </m:f>
      </m:oMath>
    </w:p>
    <w:p w:rsidR="00AE79F8" w:rsidRPr="00F47D29" w:rsidRDefault="00AE79F8" w:rsidP="00F47D29">
      <w:pPr>
        <w:spacing w:before="100" w:beforeAutospacing="1" w:after="120" w:line="480" w:lineRule="auto"/>
        <w:contextualSpacing/>
        <w:rPr>
          <w:rFonts w:ascii="Times New Roman" w:eastAsia="MinionPro-Regular" w:hAnsi="Times New Roman" w:cs="Times New Roman"/>
          <w:sz w:val="24"/>
          <w:szCs w:val="24"/>
          <w:lang w:eastAsia="zh-CN"/>
        </w:rPr>
      </w:pPr>
      <w:r w:rsidRPr="00F47D29">
        <w:rPr>
          <w:rFonts w:ascii="Times New Roman" w:eastAsia="MinionPro-Regular" w:hAnsi="Times New Roman" w:cs="Times New Roman"/>
          <w:sz w:val="24"/>
          <w:szCs w:val="24"/>
          <w:lang w:eastAsia="zh-CN"/>
        </w:rPr>
        <w:t>Total asset turnover for Brinker’s International for the financial year ended 2020 June is determined as:</w:t>
      </w:r>
    </w:p>
    <w:p w:rsidR="00AE79F8" w:rsidRPr="00F47D29" w:rsidRDefault="00AE79F8" w:rsidP="00F47D29">
      <w:pPr>
        <w:spacing w:before="100" w:beforeAutospacing="1" w:after="120" w:line="480" w:lineRule="auto"/>
        <w:contextualSpacing/>
        <w:rPr>
          <w:rFonts w:ascii="Times New Roman" w:eastAsia="MinionPro-Regular" w:hAnsi="Times New Roman" w:cs="Times New Roman"/>
          <w:sz w:val="24"/>
          <w:szCs w:val="24"/>
          <w:lang w:eastAsia="zh-CN"/>
        </w:rPr>
      </w:pPr>
      <w:r w:rsidRPr="00F47D29">
        <w:rPr>
          <w:rFonts w:ascii="Times New Roman" w:eastAsia="MinionPro-Regular" w:hAnsi="Times New Roman" w:cs="Times New Roman"/>
          <w:sz w:val="24"/>
          <w:szCs w:val="24"/>
          <w:lang w:eastAsia="zh-CN"/>
        </w:rPr>
        <w:t>Asset turnover=</w:t>
      </w:r>
      <m:oMath>
        <m:f>
          <m:fPr>
            <m:ctrlPr>
              <w:rPr>
                <w:rFonts w:ascii="Cambria Math" w:eastAsia="MinionPro-Regular" w:hAnsi="Cambria Math" w:cs="Times New Roman"/>
                <w:i/>
                <w:sz w:val="24"/>
                <w:szCs w:val="24"/>
                <w:lang w:eastAsia="zh-CN"/>
              </w:rPr>
            </m:ctrlPr>
          </m:fPr>
          <m:num>
            <m:r>
              <w:rPr>
                <w:rFonts w:ascii="Cambria Math" w:eastAsia="MinionPro-Regular" w:hAnsi="Cambria Math" w:cs="Times New Roman"/>
                <w:sz w:val="24"/>
                <w:szCs w:val="24"/>
                <w:lang w:eastAsia="zh-CN"/>
              </w:rPr>
              <m:t>Revenue(June.2020)</m:t>
            </m:r>
          </m:num>
          <m:den>
            <m:f>
              <m:fPr>
                <m:ctrlPr>
                  <w:rPr>
                    <w:rFonts w:ascii="Cambria Math" w:eastAsia="MinionPro-Regular" w:hAnsi="Cambria Math" w:cs="Times New Roman"/>
                    <w:i/>
                    <w:sz w:val="24"/>
                    <w:szCs w:val="24"/>
                    <w:lang w:eastAsia="zh-CN"/>
                  </w:rPr>
                </m:ctrlPr>
              </m:fPr>
              <m:num>
                <m:r>
                  <w:rPr>
                    <w:rFonts w:ascii="Cambria Math" w:eastAsia="MinionPro-Regular" w:hAnsi="Cambria Math" w:cs="Times New Roman"/>
                    <w:sz w:val="24"/>
                    <w:szCs w:val="24"/>
                    <w:lang w:eastAsia="zh-CN"/>
                  </w:rPr>
                  <m:t>Total Assets</m:t>
                </m:r>
                <m:d>
                  <m:dPr>
                    <m:ctrlPr>
                      <w:rPr>
                        <w:rFonts w:ascii="Cambria Math" w:eastAsia="MinionPro-Regular" w:hAnsi="Cambria Math" w:cs="Times New Roman"/>
                        <w:i/>
                        <w:sz w:val="24"/>
                        <w:szCs w:val="24"/>
                        <w:lang w:eastAsia="zh-CN"/>
                      </w:rPr>
                    </m:ctrlPr>
                  </m:dPr>
                  <m:e>
                    <m:r>
                      <w:rPr>
                        <w:rFonts w:ascii="Cambria Math" w:eastAsia="MinionPro-Regular" w:hAnsi="Cambria Math" w:cs="Times New Roman"/>
                        <w:sz w:val="24"/>
                        <w:szCs w:val="24"/>
                        <w:lang w:eastAsia="zh-CN"/>
                      </w:rPr>
                      <m:t>June.2019</m:t>
                    </m:r>
                  </m:e>
                </m:d>
                <m:r>
                  <w:rPr>
                    <w:rFonts w:ascii="Cambria Math" w:eastAsia="MinionPro-Regular" w:hAnsi="Cambria Math" w:cs="Times New Roman"/>
                    <w:sz w:val="24"/>
                    <w:szCs w:val="24"/>
                    <w:lang w:eastAsia="zh-CN"/>
                  </w:rPr>
                  <m:t>+Total assets(June.2020)</m:t>
                </m:r>
              </m:num>
              <m:den>
                <m:r>
                  <w:rPr>
                    <w:rFonts w:ascii="Cambria Math" w:eastAsia="MinionPro-Regular" w:hAnsi="Cambria Math" w:cs="Times New Roman"/>
                    <w:sz w:val="24"/>
                    <w:szCs w:val="24"/>
                    <w:lang w:eastAsia="zh-CN"/>
                  </w:rPr>
                  <m:t>2</m:t>
                </m:r>
              </m:den>
            </m:f>
          </m:den>
        </m:f>
      </m:oMath>
    </w:p>
    <w:p w:rsidR="00F26DB1" w:rsidRPr="00F47D29" w:rsidRDefault="00F26DB1" w:rsidP="00F47D29">
      <w:pPr>
        <w:spacing w:before="100" w:beforeAutospacing="1" w:after="120" w:line="480" w:lineRule="auto"/>
        <w:contextualSpacing/>
        <w:rPr>
          <w:rFonts w:ascii="Times New Roman" w:eastAsia="MinionPro-Regular" w:hAnsi="Times New Roman" w:cs="Times New Roman"/>
          <w:sz w:val="24"/>
          <w:szCs w:val="24"/>
          <w:lang w:eastAsia="zh-CN"/>
        </w:rPr>
      </w:pPr>
      <w:r w:rsidRPr="00F47D29">
        <w:rPr>
          <w:rFonts w:ascii="Times New Roman" w:eastAsia="MinionPro-Regular" w:hAnsi="Times New Roman" w:cs="Times New Roman"/>
          <w:sz w:val="24"/>
          <w:szCs w:val="24"/>
          <w:lang w:eastAsia="zh-CN"/>
        </w:rPr>
        <w:t xml:space="preserve">                   Average total Assets =</w:t>
      </w:r>
      <m:oMath>
        <m:f>
          <m:fPr>
            <m:ctrlPr>
              <w:rPr>
                <w:rFonts w:ascii="Cambria Math" w:eastAsia="MinionPro-Regular" w:hAnsi="Cambria Math" w:cs="Times New Roman"/>
                <w:i/>
                <w:sz w:val="24"/>
                <w:szCs w:val="24"/>
                <w:lang w:eastAsia="zh-CN"/>
              </w:rPr>
            </m:ctrlPr>
          </m:fPr>
          <m:num>
            <m:r>
              <w:rPr>
                <w:rFonts w:ascii="Cambria Math" w:eastAsia="MinionPro-Regular" w:hAnsi="Cambria Math" w:cs="Times New Roman"/>
                <w:sz w:val="24"/>
                <w:szCs w:val="24"/>
                <w:lang w:eastAsia="zh-CN"/>
              </w:rPr>
              <m:t>1258.3+2356</m:t>
            </m:r>
          </m:num>
          <m:den>
            <m:r>
              <w:rPr>
                <w:rFonts w:ascii="Cambria Math" w:eastAsia="MinionPro-Regular" w:hAnsi="Cambria Math" w:cs="Times New Roman"/>
                <w:sz w:val="24"/>
                <w:szCs w:val="24"/>
                <w:lang w:eastAsia="zh-CN"/>
              </w:rPr>
              <m:t>2</m:t>
            </m:r>
          </m:den>
        </m:f>
        <m:r>
          <w:rPr>
            <w:rFonts w:ascii="Cambria Math" w:eastAsia="MinionPro-Regular" w:hAnsi="Cambria Math" w:cs="Times New Roman"/>
            <w:sz w:val="24"/>
            <w:szCs w:val="24"/>
            <w:lang w:eastAsia="zh-CN"/>
          </w:rPr>
          <m:t>=1807.15</m:t>
        </m:r>
      </m:oMath>
    </w:p>
    <w:p w:rsidR="006B706A" w:rsidRPr="00F47D29" w:rsidRDefault="006B706A" w:rsidP="00F47D29">
      <w:pPr>
        <w:spacing w:before="100" w:beforeAutospacing="1" w:after="120" w:line="480" w:lineRule="auto"/>
        <w:contextualSpacing/>
        <w:rPr>
          <w:rFonts w:ascii="Times New Roman" w:eastAsia="MinionPro-Regular" w:hAnsi="Times New Roman" w:cs="Times New Roman"/>
          <w:sz w:val="24"/>
          <w:szCs w:val="24"/>
          <w:lang w:eastAsia="zh-CN"/>
        </w:rPr>
      </w:pPr>
      <w:r w:rsidRPr="00F47D29">
        <w:rPr>
          <w:rFonts w:ascii="Times New Roman" w:eastAsia="MinionPro-Regular" w:hAnsi="Times New Roman" w:cs="Times New Roman"/>
          <w:sz w:val="24"/>
          <w:szCs w:val="24"/>
          <w:lang w:eastAsia="zh-CN"/>
        </w:rPr>
        <w:t>Brinker International’s total asset turnover =</w:t>
      </w:r>
      <m:oMath>
        <m:f>
          <m:fPr>
            <m:ctrlPr>
              <w:rPr>
                <w:rFonts w:ascii="Cambria Math" w:eastAsia="MinionPro-Regular" w:hAnsi="Cambria Math" w:cs="Times New Roman"/>
                <w:i/>
                <w:sz w:val="24"/>
                <w:szCs w:val="24"/>
                <w:lang w:eastAsia="zh-CN"/>
              </w:rPr>
            </m:ctrlPr>
          </m:fPr>
          <m:num>
            <m:r>
              <w:rPr>
                <w:rFonts w:ascii="Cambria Math" w:eastAsia="MinionPro-Regular" w:hAnsi="Cambria Math" w:cs="Times New Roman"/>
                <w:sz w:val="24"/>
                <w:szCs w:val="24"/>
                <w:lang w:eastAsia="zh-CN"/>
              </w:rPr>
              <m:t>3078.5</m:t>
            </m:r>
          </m:num>
          <m:den>
            <m:r>
              <w:rPr>
                <w:rFonts w:ascii="Cambria Math" w:eastAsia="MinionPro-Regular" w:hAnsi="Cambria Math" w:cs="Times New Roman"/>
                <w:sz w:val="24"/>
                <w:szCs w:val="24"/>
                <w:lang w:eastAsia="zh-CN"/>
              </w:rPr>
              <m:t>1807.15</m:t>
            </m:r>
          </m:den>
        </m:f>
      </m:oMath>
      <w:r w:rsidRPr="00F47D29">
        <w:rPr>
          <w:rFonts w:ascii="Times New Roman" w:eastAsia="MinionPro-Regular" w:hAnsi="Times New Roman" w:cs="Times New Roman"/>
          <w:sz w:val="24"/>
          <w:szCs w:val="24"/>
          <w:lang w:eastAsia="zh-CN"/>
        </w:rPr>
        <w:t>=1.70</w:t>
      </w:r>
    </w:p>
    <w:p w:rsidR="0021222A" w:rsidRPr="00F47D29" w:rsidRDefault="0021222A" w:rsidP="00F47D29">
      <w:pPr>
        <w:spacing w:before="100" w:beforeAutospacing="1" w:after="120" w:line="480" w:lineRule="auto"/>
        <w:contextualSpacing/>
        <w:rPr>
          <w:rFonts w:ascii="Times New Roman" w:eastAsia="MinionPro-Regular" w:hAnsi="Times New Roman" w:cs="Times New Roman"/>
          <w:sz w:val="24"/>
          <w:szCs w:val="24"/>
          <w:lang w:eastAsia="zh-CN"/>
        </w:rPr>
      </w:pPr>
    </w:p>
    <w:p w:rsidR="00BF388A" w:rsidRPr="00F47D29" w:rsidRDefault="00BF388A" w:rsidP="00F47D29">
      <w:pPr>
        <w:widowControl w:val="0"/>
        <w:autoSpaceDE w:val="0"/>
        <w:autoSpaceDN w:val="0"/>
        <w:adjustRightInd w:val="0"/>
        <w:spacing w:after="0" w:line="480" w:lineRule="auto"/>
        <w:jc w:val="center"/>
        <w:rPr>
          <w:rFonts w:ascii="Times New Roman" w:eastAsia="MinionPro-Regular" w:hAnsi="Times New Roman" w:cs="Times New Roman"/>
          <w:b/>
          <w:sz w:val="24"/>
          <w:szCs w:val="24"/>
          <w:lang w:eastAsia="zh-CN"/>
        </w:rPr>
      </w:pPr>
      <w:r w:rsidRPr="00F47D29">
        <w:rPr>
          <w:rFonts w:ascii="Times New Roman" w:eastAsia="MinionPro-Regular" w:hAnsi="Times New Roman" w:cs="Times New Roman"/>
          <w:b/>
          <w:sz w:val="24"/>
          <w:szCs w:val="24"/>
          <w:lang w:eastAsia="zh-CN"/>
        </w:rPr>
        <w:t>d. Calculate the projected current and quick ratios based on the projected balance</w:t>
      </w:r>
    </w:p>
    <w:p w:rsidR="00BF388A" w:rsidRPr="00F47D29" w:rsidRDefault="00BF388A" w:rsidP="00F47D29">
      <w:pPr>
        <w:widowControl w:val="0"/>
        <w:autoSpaceDE w:val="0"/>
        <w:autoSpaceDN w:val="0"/>
        <w:adjustRightInd w:val="0"/>
        <w:spacing w:after="0" w:line="480" w:lineRule="auto"/>
        <w:jc w:val="center"/>
        <w:rPr>
          <w:rFonts w:ascii="Times New Roman" w:eastAsia="MinionPro-Regular" w:hAnsi="Times New Roman" w:cs="Times New Roman"/>
          <w:b/>
          <w:sz w:val="24"/>
          <w:szCs w:val="24"/>
          <w:lang w:eastAsia="zh-CN"/>
        </w:rPr>
      </w:pPr>
      <w:r w:rsidRPr="00F47D29">
        <w:rPr>
          <w:rFonts w:ascii="Times New Roman" w:eastAsia="MinionPro-Regular" w:hAnsi="Times New Roman" w:cs="Times New Roman"/>
          <w:b/>
          <w:sz w:val="24"/>
          <w:szCs w:val="24"/>
          <w:lang w:eastAsia="zh-CN"/>
        </w:rPr>
        <w:lastRenderedPageBreak/>
        <w:t>sheet and income statement data. What can you say about the company’s liquidity position and its trend?</w:t>
      </w:r>
    </w:p>
    <w:p w:rsidR="0073524F" w:rsidRPr="00F47D29" w:rsidRDefault="0073524F" w:rsidP="00F47D29">
      <w:pPr>
        <w:widowControl w:val="0"/>
        <w:autoSpaceDE w:val="0"/>
        <w:autoSpaceDN w:val="0"/>
        <w:adjustRightInd w:val="0"/>
        <w:spacing w:after="0" w:line="480" w:lineRule="auto"/>
        <w:rPr>
          <w:rFonts w:ascii="Times New Roman" w:eastAsia="MinionPro-Regular" w:hAnsi="Times New Roman" w:cs="Times New Roman"/>
          <w:b/>
          <w:sz w:val="24"/>
          <w:szCs w:val="24"/>
          <w:lang w:eastAsia="zh-CN"/>
        </w:rPr>
      </w:pPr>
      <w:r w:rsidRPr="00F47D29">
        <w:rPr>
          <w:rFonts w:ascii="Times New Roman" w:eastAsia="MinionPro-Regular" w:hAnsi="Times New Roman" w:cs="Times New Roman"/>
          <w:b/>
          <w:sz w:val="24"/>
          <w:szCs w:val="24"/>
          <w:lang w:eastAsia="zh-CN"/>
        </w:rPr>
        <w:t xml:space="preserve">Current ratio </w:t>
      </w:r>
    </w:p>
    <w:p w:rsidR="008942D1" w:rsidRPr="00F47D29" w:rsidRDefault="0073524F" w:rsidP="00F47D29">
      <w:pPr>
        <w:tabs>
          <w:tab w:val="left" w:pos="2955"/>
        </w:tabs>
        <w:spacing w:before="100" w:beforeAutospacing="1" w:after="100" w:afterAutospacing="1" w:line="480" w:lineRule="auto"/>
        <w:contextualSpacing/>
        <w:rPr>
          <w:rFonts w:ascii="Times New Roman" w:hAnsi="Times New Roman" w:cs="Times New Roman"/>
          <w:sz w:val="24"/>
          <w:szCs w:val="24"/>
          <w:shd w:val="clear" w:color="auto" w:fill="FFFFFF"/>
        </w:rPr>
      </w:pPr>
      <w:r w:rsidRPr="00F47D29">
        <w:rPr>
          <w:rFonts w:ascii="Times New Roman" w:hAnsi="Times New Roman" w:cs="Times New Roman"/>
          <w:sz w:val="24"/>
          <w:szCs w:val="24"/>
          <w:shd w:val="clear" w:color="auto" w:fill="FFFFFF"/>
        </w:rPr>
        <w:t xml:space="preserve">The current ratio refers to the liquidity ratio metric that the measures the ability of a company to pay its short-term financial </w:t>
      </w:r>
      <w:r w:rsidR="00272FAC" w:rsidRPr="00F47D29">
        <w:rPr>
          <w:rFonts w:ascii="Times New Roman" w:hAnsi="Times New Roman" w:cs="Times New Roman"/>
          <w:sz w:val="24"/>
          <w:szCs w:val="24"/>
          <w:shd w:val="clear" w:color="auto" w:fill="FFFFFF"/>
        </w:rPr>
        <w:t>obligations</w:t>
      </w:r>
      <w:sdt>
        <w:sdtPr>
          <w:rPr>
            <w:rFonts w:ascii="Times New Roman" w:hAnsi="Times New Roman" w:cs="Times New Roman"/>
            <w:sz w:val="24"/>
            <w:szCs w:val="24"/>
            <w:shd w:val="clear" w:color="auto" w:fill="FFFFFF"/>
          </w:rPr>
          <w:id w:val="-1271086332"/>
          <w:citation/>
        </w:sdtPr>
        <w:sdtContent>
          <w:r w:rsidR="004913E8">
            <w:rPr>
              <w:rFonts w:ascii="Times New Roman" w:hAnsi="Times New Roman" w:cs="Times New Roman"/>
              <w:sz w:val="24"/>
              <w:szCs w:val="24"/>
              <w:shd w:val="clear" w:color="auto" w:fill="FFFFFF"/>
            </w:rPr>
            <w:fldChar w:fldCharType="begin"/>
          </w:r>
          <w:r w:rsidR="004913E8">
            <w:rPr>
              <w:rFonts w:ascii="Times New Roman" w:hAnsi="Times New Roman" w:cs="Times New Roman"/>
              <w:sz w:val="24"/>
              <w:szCs w:val="24"/>
              <w:shd w:val="clear" w:color="auto" w:fill="FFFFFF"/>
            </w:rPr>
            <w:instrText xml:space="preserve"> CITATION Bar06 \l 1033 </w:instrText>
          </w:r>
          <w:r w:rsidR="004913E8">
            <w:rPr>
              <w:rFonts w:ascii="Times New Roman" w:hAnsi="Times New Roman" w:cs="Times New Roman"/>
              <w:sz w:val="24"/>
              <w:szCs w:val="24"/>
              <w:shd w:val="clear" w:color="auto" w:fill="FFFFFF"/>
            </w:rPr>
            <w:fldChar w:fldCharType="separate"/>
          </w:r>
          <w:r w:rsidR="004913E8">
            <w:rPr>
              <w:rFonts w:ascii="Times New Roman" w:hAnsi="Times New Roman" w:cs="Times New Roman"/>
              <w:noProof/>
              <w:sz w:val="24"/>
              <w:szCs w:val="24"/>
              <w:shd w:val="clear" w:color="auto" w:fill="FFFFFF"/>
            </w:rPr>
            <w:t xml:space="preserve"> </w:t>
          </w:r>
          <w:r w:rsidR="004913E8" w:rsidRPr="004913E8">
            <w:rPr>
              <w:rFonts w:ascii="Times New Roman" w:hAnsi="Times New Roman" w:cs="Times New Roman"/>
              <w:noProof/>
              <w:sz w:val="24"/>
              <w:szCs w:val="24"/>
              <w:shd w:val="clear" w:color="auto" w:fill="FFFFFF"/>
            </w:rPr>
            <w:t>(Barnes, 2006)</w:t>
          </w:r>
          <w:r w:rsidR="004913E8">
            <w:rPr>
              <w:rFonts w:ascii="Times New Roman" w:hAnsi="Times New Roman" w:cs="Times New Roman"/>
              <w:sz w:val="24"/>
              <w:szCs w:val="24"/>
              <w:shd w:val="clear" w:color="auto" w:fill="FFFFFF"/>
            </w:rPr>
            <w:fldChar w:fldCharType="end"/>
          </w:r>
        </w:sdtContent>
      </w:sdt>
      <w:r w:rsidR="00272FAC" w:rsidRPr="00F47D29">
        <w:rPr>
          <w:rFonts w:ascii="Times New Roman" w:hAnsi="Times New Roman" w:cs="Times New Roman"/>
          <w:sz w:val="24"/>
          <w:szCs w:val="24"/>
          <w:shd w:val="clear" w:color="auto" w:fill="FFFFFF"/>
        </w:rPr>
        <w:t xml:space="preserve">. The current ratio is determined as </w:t>
      </w:r>
      <w:r w:rsidR="002C1D26" w:rsidRPr="00F47D29">
        <w:rPr>
          <w:rFonts w:ascii="Times New Roman" w:hAnsi="Times New Roman" w:cs="Times New Roman"/>
          <w:sz w:val="24"/>
          <w:szCs w:val="24"/>
          <w:shd w:val="clear" w:color="auto" w:fill="FFFFFF"/>
        </w:rPr>
        <w:t>the company’s total current assets divided by its total current liabilities.</w:t>
      </w:r>
    </w:p>
    <w:p w:rsidR="002C1D26" w:rsidRPr="00F47D29" w:rsidRDefault="002C1D26" w:rsidP="00F47D29">
      <w:pPr>
        <w:tabs>
          <w:tab w:val="left" w:pos="2955"/>
        </w:tabs>
        <w:spacing w:before="100" w:beforeAutospacing="1" w:after="100" w:afterAutospacing="1" w:line="480" w:lineRule="auto"/>
        <w:contextualSpacing/>
        <w:rPr>
          <w:rFonts w:ascii="Times New Roman" w:eastAsiaTheme="minorEastAsia" w:hAnsi="Times New Roman" w:cs="Times New Roman"/>
          <w:sz w:val="24"/>
          <w:szCs w:val="24"/>
          <w:shd w:val="clear" w:color="auto" w:fill="FFFFFF"/>
        </w:rPr>
      </w:pPr>
      <w:r w:rsidRPr="00F47D29">
        <w:rPr>
          <w:rFonts w:ascii="Times New Roman" w:hAnsi="Times New Roman" w:cs="Times New Roman"/>
          <w:sz w:val="24"/>
          <w:szCs w:val="24"/>
          <w:shd w:val="clear" w:color="auto" w:fill="FFFFFF"/>
        </w:rPr>
        <w:t>Current ratio</w:t>
      </w:r>
      <m:oMath>
        <m:r>
          <w:rPr>
            <w:rFonts w:ascii="Cambria Math" w:hAnsi="Cambria Math" w:cs="Times New Roman"/>
            <w:sz w:val="24"/>
            <w:szCs w:val="24"/>
            <w:shd w:val="clear" w:color="auto" w:fill="FFFFFF"/>
          </w:rPr>
          <m:t>=</m:t>
        </m:r>
        <m:f>
          <m:fPr>
            <m:ctrlPr>
              <w:rPr>
                <w:rFonts w:ascii="Cambria Math" w:hAnsi="Cambria Math" w:cs="Times New Roman"/>
                <w:i/>
                <w:sz w:val="24"/>
                <w:szCs w:val="24"/>
                <w:shd w:val="clear" w:color="auto" w:fill="FFFFFF"/>
              </w:rPr>
            </m:ctrlPr>
          </m:fPr>
          <m:num>
            <m:r>
              <w:rPr>
                <w:rFonts w:ascii="Cambria Math" w:hAnsi="Cambria Math" w:cs="Times New Roman"/>
                <w:sz w:val="24"/>
                <w:szCs w:val="24"/>
                <w:shd w:val="clear" w:color="auto" w:fill="FFFFFF"/>
              </w:rPr>
              <m:t xml:space="preserve">Total Current Assets </m:t>
            </m:r>
          </m:num>
          <m:den>
            <m:r>
              <w:rPr>
                <w:rFonts w:ascii="Cambria Math" w:hAnsi="Cambria Math" w:cs="Times New Roman"/>
                <w:sz w:val="24"/>
                <w:szCs w:val="24"/>
                <w:shd w:val="clear" w:color="auto" w:fill="FFFFFF"/>
              </w:rPr>
              <m:t xml:space="preserve">Total Current Liabilities </m:t>
            </m:r>
          </m:den>
        </m:f>
      </m:oMath>
    </w:p>
    <w:p w:rsidR="00AB4928" w:rsidRPr="00F47D29" w:rsidRDefault="00AB4928" w:rsidP="00F47D29">
      <w:pPr>
        <w:tabs>
          <w:tab w:val="left" w:pos="2955"/>
        </w:tabs>
        <w:spacing w:before="100" w:beforeAutospacing="1" w:after="100" w:afterAutospacing="1" w:line="480" w:lineRule="auto"/>
        <w:contextualSpacing/>
        <w:rPr>
          <w:rFonts w:ascii="Times New Roman" w:hAnsi="Times New Roman" w:cs="Times New Roman"/>
          <w:sz w:val="24"/>
          <w:szCs w:val="24"/>
          <w:shd w:val="clear" w:color="auto" w:fill="FFFFFF"/>
        </w:rPr>
      </w:pPr>
      <w:r w:rsidRPr="00F47D29">
        <w:rPr>
          <w:rFonts w:ascii="Times New Roman" w:eastAsiaTheme="minorEastAsia" w:hAnsi="Times New Roman" w:cs="Times New Roman"/>
          <w:sz w:val="24"/>
          <w:szCs w:val="24"/>
          <w:shd w:val="clear" w:color="auto" w:fill="FFFFFF"/>
        </w:rPr>
        <w:t xml:space="preserve">Current ratio for Brinker International for the financial year ended 2020 June is determined as </w:t>
      </w:r>
    </w:p>
    <w:p w:rsidR="002C1D26" w:rsidRPr="00F47D29" w:rsidRDefault="00C44AD8" w:rsidP="00F47D29">
      <w:pPr>
        <w:tabs>
          <w:tab w:val="left" w:pos="2955"/>
        </w:tabs>
        <w:spacing w:before="100" w:beforeAutospacing="1" w:after="100" w:afterAutospacing="1" w:line="480" w:lineRule="auto"/>
        <w:contextualSpacing/>
        <w:rPr>
          <w:rFonts w:ascii="Times New Roman" w:eastAsiaTheme="minorEastAsia" w:hAnsi="Times New Roman" w:cs="Times New Roman"/>
          <w:sz w:val="24"/>
          <w:szCs w:val="24"/>
          <w:shd w:val="clear" w:color="auto" w:fill="FFFFFF"/>
        </w:rPr>
      </w:pPr>
      <w:r w:rsidRPr="00F47D29">
        <w:rPr>
          <w:rFonts w:ascii="Times New Roman" w:hAnsi="Times New Roman" w:cs="Times New Roman"/>
          <w:sz w:val="24"/>
          <w:szCs w:val="24"/>
          <w:shd w:val="clear" w:color="auto" w:fill="FFFFFF"/>
        </w:rPr>
        <w:t>Current ratio=</w:t>
      </w:r>
      <m:oMath>
        <m:f>
          <m:fPr>
            <m:ctrlPr>
              <w:rPr>
                <w:rFonts w:ascii="Cambria Math" w:hAnsi="Cambria Math" w:cs="Times New Roman"/>
                <w:i/>
                <w:sz w:val="24"/>
                <w:szCs w:val="24"/>
                <w:shd w:val="clear" w:color="auto" w:fill="FFFFFF"/>
              </w:rPr>
            </m:ctrlPr>
          </m:fPr>
          <m:num>
            <m:r>
              <w:rPr>
                <w:rFonts w:ascii="Cambria Math" w:hAnsi="Cambria Math" w:cs="Times New Roman"/>
                <w:sz w:val="24"/>
                <w:szCs w:val="24"/>
                <w:shd w:val="clear" w:color="auto" w:fill="FFFFFF"/>
              </w:rPr>
              <m:t>224.4</m:t>
            </m:r>
          </m:num>
          <m:den>
            <m:r>
              <w:rPr>
                <w:rFonts w:ascii="Cambria Math" w:hAnsi="Cambria Math" w:cs="Times New Roman"/>
                <w:sz w:val="24"/>
                <w:szCs w:val="24"/>
                <w:shd w:val="clear" w:color="auto" w:fill="FFFFFF"/>
              </w:rPr>
              <m:t>497.9</m:t>
            </m:r>
          </m:den>
        </m:f>
        <m:r>
          <w:rPr>
            <w:rFonts w:ascii="Cambria Math" w:hAnsi="Cambria Math" w:cs="Times New Roman"/>
            <w:sz w:val="24"/>
            <w:szCs w:val="24"/>
            <w:shd w:val="clear" w:color="auto" w:fill="FFFFFF"/>
          </w:rPr>
          <m:t>=0.45</m:t>
        </m:r>
      </m:oMath>
    </w:p>
    <w:p w:rsidR="004D7EE5" w:rsidRPr="00F47D29" w:rsidRDefault="004D7EE5" w:rsidP="00F47D29">
      <w:pPr>
        <w:tabs>
          <w:tab w:val="left" w:pos="2955"/>
        </w:tabs>
        <w:spacing w:before="100" w:beforeAutospacing="1" w:after="100" w:afterAutospacing="1" w:line="480" w:lineRule="auto"/>
        <w:contextualSpacing/>
        <w:rPr>
          <w:rFonts w:ascii="Times New Roman" w:hAnsi="Times New Roman" w:cs="Times New Roman"/>
          <w:sz w:val="24"/>
          <w:szCs w:val="24"/>
          <w:shd w:val="clear" w:color="auto" w:fill="FFFFFF"/>
        </w:rPr>
      </w:pPr>
      <w:r w:rsidRPr="00F47D29">
        <w:rPr>
          <w:rFonts w:ascii="Times New Roman" w:eastAsiaTheme="minorEastAsia" w:hAnsi="Times New Roman" w:cs="Times New Roman"/>
          <w:sz w:val="24"/>
          <w:szCs w:val="24"/>
          <w:shd w:val="clear" w:color="auto" w:fill="FFFFFF"/>
        </w:rPr>
        <w:t>Brinker International Inc.’s current ratio is 0.45 which is less than 1. Current ratio of 0.45 indicates that the organization may have challenges of meeting its short-term financial obligations.</w:t>
      </w:r>
    </w:p>
    <w:p w:rsidR="002C1D26" w:rsidRPr="00F47D29" w:rsidRDefault="004D7EE5" w:rsidP="00F47D29">
      <w:pPr>
        <w:tabs>
          <w:tab w:val="left" w:pos="2955"/>
        </w:tabs>
        <w:spacing w:before="100" w:beforeAutospacing="1" w:after="100" w:afterAutospacing="1" w:line="480" w:lineRule="auto"/>
        <w:contextualSpacing/>
        <w:rPr>
          <w:rFonts w:ascii="Times New Roman" w:eastAsia="MinionPro-Regular" w:hAnsi="Times New Roman" w:cs="Times New Roman"/>
          <w:b/>
          <w:sz w:val="24"/>
          <w:szCs w:val="24"/>
          <w:lang w:eastAsia="zh-CN"/>
        </w:rPr>
      </w:pPr>
      <w:r w:rsidRPr="00F47D29">
        <w:rPr>
          <w:rFonts w:ascii="Times New Roman" w:eastAsia="MinionPro-Regular" w:hAnsi="Times New Roman" w:cs="Times New Roman"/>
          <w:b/>
          <w:sz w:val="24"/>
          <w:szCs w:val="24"/>
          <w:lang w:eastAsia="zh-CN"/>
        </w:rPr>
        <w:t>Quick ratio</w:t>
      </w:r>
    </w:p>
    <w:p w:rsidR="004D7EE5" w:rsidRPr="00F47D29" w:rsidRDefault="004D7EE5" w:rsidP="00F47D29">
      <w:pPr>
        <w:tabs>
          <w:tab w:val="left" w:pos="2955"/>
        </w:tabs>
        <w:spacing w:before="100" w:beforeAutospacing="1" w:after="100" w:afterAutospacing="1" w:line="480" w:lineRule="auto"/>
        <w:contextualSpacing/>
        <w:rPr>
          <w:rFonts w:ascii="Times New Roman" w:eastAsia="MinionPro-Regular" w:hAnsi="Times New Roman" w:cs="Times New Roman"/>
          <w:b/>
          <w:sz w:val="24"/>
          <w:szCs w:val="24"/>
          <w:lang w:eastAsia="zh-CN"/>
        </w:rPr>
      </w:pPr>
      <w:r w:rsidRPr="00F47D29">
        <w:rPr>
          <w:rFonts w:ascii="Times New Roman" w:eastAsia="MinionPro-Regular" w:hAnsi="Times New Roman" w:cs="Times New Roman"/>
          <w:sz w:val="24"/>
          <w:szCs w:val="24"/>
          <w:lang w:eastAsia="zh-CN"/>
        </w:rPr>
        <w:t>Quick ratio refers to the financial metric that measures the ability of an organization to meet its current obligations using its current assets</w:t>
      </w:r>
      <w:r w:rsidRPr="00F47D29">
        <w:rPr>
          <w:rFonts w:ascii="Times New Roman" w:eastAsia="MinionPro-Regular" w:hAnsi="Times New Roman" w:cs="Times New Roman"/>
          <w:b/>
          <w:sz w:val="24"/>
          <w:szCs w:val="24"/>
          <w:lang w:eastAsia="zh-CN"/>
        </w:rPr>
        <w:t>.</w:t>
      </w:r>
    </w:p>
    <w:p w:rsidR="004D7EE5" w:rsidRPr="00F47D29" w:rsidRDefault="004D7EE5" w:rsidP="00F47D29">
      <w:pPr>
        <w:tabs>
          <w:tab w:val="left" w:pos="2955"/>
        </w:tabs>
        <w:spacing w:before="100" w:beforeAutospacing="1" w:after="100" w:afterAutospacing="1" w:line="480" w:lineRule="auto"/>
        <w:contextualSpacing/>
        <w:rPr>
          <w:rFonts w:ascii="Times New Roman" w:eastAsia="MinionPro-Regular" w:hAnsi="Times New Roman" w:cs="Times New Roman"/>
          <w:b/>
          <w:sz w:val="24"/>
          <w:szCs w:val="24"/>
          <w:lang w:eastAsia="zh-CN"/>
        </w:rPr>
      </w:pPr>
      <w:r w:rsidRPr="00F47D29">
        <w:rPr>
          <w:rFonts w:ascii="Times New Roman" w:eastAsia="MinionPro-Regular" w:hAnsi="Times New Roman" w:cs="Times New Roman"/>
          <w:sz w:val="24"/>
          <w:szCs w:val="24"/>
          <w:lang w:eastAsia="zh-CN"/>
        </w:rPr>
        <w:t>Quick ratio</w:t>
      </w:r>
      <w:r w:rsidRPr="00F47D29">
        <w:rPr>
          <w:rFonts w:ascii="Times New Roman" w:eastAsia="MinionPro-Regular" w:hAnsi="Times New Roman" w:cs="Times New Roman"/>
          <w:b/>
          <w:sz w:val="24"/>
          <w:szCs w:val="24"/>
          <w:lang w:eastAsia="zh-CN"/>
        </w:rPr>
        <w:t>=</w:t>
      </w:r>
      <m:oMath>
        <m:f>
          <m:fPr>
            <m:ctrlPr>
              <w:rPr>
                <w:rFonts w:ascii="Cambria Math" w:eastAsia="MinionPro-Regular" w:hAnsi="Cambria Math" w:cs="Times New Roman"/>
                <w:b/>
                <w:i/>
                <w:sz w:val="24"/>
                <w:szCs w:val="24"/>
                <w:lang w:eastAsia="zh-CN"/>
              </w:rPr>
            </m:ctrlPr>
          </m:fPr>
          <m:num>
            <m:r>
              <m:rPr>
                <m:sty m:val="bi"/>
              </m:rPr>
              <w:rPr>
                <w:rFonts w:ascii="Cambria Math" w:eastAsia="MinionPro-Regular" w:hAnsi="Cambria Math" w:cs="Times New Roman"/>
                <w:sz w:val="24"/>
                <w:szCs w:val="24"/>
                <w:lang w:eastAsia="zh-CN"/>
              </w:rPr>
              <m:t>Total Current Assets-Total Inventories</m:t>
            </m:r>
          </m:num>
          <m:den>
            <m:r>
              <m:rPr>
                <m:sty m:val="bi"/>
              </m:rPr>
              <w:rPr>
                <w:rFonts w:ascii="Cambria Math" w:eastAsia="MinionPro-Regular" w:hAnsi="Cambria Math" w:cs="Times New Roman"/>
                <w:sz w:val="24"/>
                <w:szCs w:val="24"/>
                <w:lang w:eastAsia="zh-CN"/>
              </w:rPr>
              <m:t xml:space="preserve">Total Current Liabilities </m:t>
            </m:r>
          </m:den>
        </m:f>
      </m:oMath>
    </w:p>
    <w:p w:rsidR="00700FA4" w:rsidRPr="00F47D29" w:rsidRDefault="00700FA4" w:rsidP="00F47D29">
      <w:pPr>
        <w:tabs>
          <w:tab w:val="left" w:pos="2955"/>
        </w:tabs>
        <w:spacing w:before="100" w:beforeAutospacing="1" w:after="100" w:afterAutospacing="1" w:line="480" w:lineRule="auto"/>
        <w:contextualSpacing/>
        <w:rPr>
          <w:rFonts w:ascii="Times New Roman" w:eastAsia="MinionPro-Regular" w:hAnsi="Times New Roman" w:cs="Times New Roman"/>
          <w:sz w:val="24"/>
          <w:szCs w:val="24"/>
          <w:lang w:eastAsia="zh-CN"/>
        </w:rPr>
      </w:pPr>
      <w:r w:rsidRPr="00F47D29">
        <w:rPr>
          <w:rFonts w:ascii="Times New Roman" w:eastAsia="MinionPro-Regular" w:hAnsi="Times New Roman" w:cs="Times New Roman"/>
          <w:sz w:val="24"/>
          <w:szCs w:val="24"/>
          <w:lang w:eastAsia="zh-CN"/>
        </w:rPr>
        <w:t>Brinker International Inc.’s quick ratio for the financial year ended 2020 June is determined as:</w:t>
      </w:r>
    </w:p>
    <w:p w:rsidR="00F8739E" w:rsidRPr="00F47D29" w:rsidRDefault="00F8739E" w:rsidP="00F47D29">
      <w:pPr>
        <w:tabs>
          <w:tab w:val="left" w:pos="2955"/>
        </w:tabs>
        <w:spacing w:before="100" w:beforeAutospacing="1" w:after="100" w:afterAutospacing="1" w:line="480" w:lineRule="auto"/>
        <w:contextualSpacing/>
        <w:rPr>
          <w:rFonts w:ascii="Times New Roman" w:eastAsiaTheme="minorEastAsia" w:hAnsi="Times New Roman" w:cs="Times New Roman"/>
          <w:sz w:val="24"/>
          <w:szCs w:val="24"/>
          <w:shd w:val="clear" w:color="auto" w:fill="FFFFFF"/>
        </w:rPr>
      </w:pPr>
      <w:r w:rsidRPr="00F47D29">
        <w:rPr>
          <w:rFonts w:ascii="Times New Roman" w:hAnsi="Times New Roman" w:cs="Times New Roman"/>
          <w:sz w:val="24"/>
          <w:szCs w:val="24"/>
          <w:shd w:val="clear" w:color="auto" w:fill="FFFFFF"/>
        </w:rPr>
        <w:t>Brinker’s quick ratio=</w:t>
      </w:r>
      <m:oMath>
        <m:f>
          <m:fPr>
            <m:ctrlPr>
              <w:rPr>
                <w:rFonts w:ascii="Cambria Math" w:hAnsi="Cambria Math" w:cs="Times New Roman"/>
                <w:i/>
                <w:sz w:val="24"/>
                <w:szCs w:val="24"/>
                <w:shd w:val="clear" w:color="auto" w:fill="FFFFFF"/>
              </w:rPr>
            </m:ctrlPr>
          </m:fPr>
          <m:num>
            <m:r>
              <w:rPr>
                <w:rFonts w:ascii="Cambria Math" w:hAnsi="Cambria Math" w:cs="Times New Roman"/>
                <w:sz w:val="24"/>
                <w:szCs w:val="24"/>
                <w:shd w:val="clear" w:color="auto" w:fill="FFFFFF"/>
              </w:rPr>
              <m:t>224.4-78.9</m:t>
            </m:r>
          </m:num>
          <m:den>
            <m:r>
              <w:rPr>
                <w:rFonts w:ascii="Cambria Math" w:hAnsi="Cambria Math" w:cs="Times New Roman"/>
                <w:sz w:val="24"/>
                <w:szCs w:val="24"/>
                <w:shd w:val="clear" w:color="auto" w:fill="FFFFFF"/>
              </w:rPr>
              <m:t>497.9</m:t>
            </m:r>
          </m:den>
        </m:f>
      </m:oMath>
      <w:r w:rsidRPr="00F47D29">
        <w:rPr>
          <w:rFonts w:ascii="Times New Roman" w:eastAsiaTheme="minorEastAsia" w:hAnsi="Times New Roman" w:cs="Times New Roman"/>
          <w:sz w:val="24"/>
          <w:szCs w:val="24"/>
          <w:shd w:val="clear" w:color="auto" w:fill="FFFFFF"/>
        </w:rPr>
        <w:t>=0.29</w:t>
      </w:r>
    </w:p>
    <w:p w:rsidR="00F8739E" w:rsidRPr="00F47D29" w:rsidRDefault="00F8739E" w:rsidP="00F47D29">
      <w:pPr>
        <w:tabs>
          <w:tab w:val="left" w:pos="2955"/>
        </w:tabs>
        <w:spacing w:before="100" w:beforeAutospacing="1" w:after="100" w:afterAutospacing="1" w:line="480" w:lineRule="auto"/>
        <w:contextualSpacing/>
        <w:rPr>
          <w:rFonts w:ascii="Times New Roman" w:hAnsi="Times New Roman" w:cs="Times New Roman"/>
          <w:sz w:val="24"/>
          <w:szCs w:val="24"/>
          <w:shd w:val="clear" w:color="auto" w:fill="FFFFFF"/>
        </w:rPr>
      </w:pPr>
      <w:r w:rsidRPr="00F47D29">
        <w:rPr>
          <w:rFonts w:ascii="Times New Roman" w:hAnsi="Times New Roman" w:cs="Times New Roman"/>
          <w:sz w:val="24"/>
          <w:szCs w:val="24"/>
          <w:shd w:val="clear" w:color="auto" w:fill="FFFFFF"/>
        </w:rPr>
        <w:t>The company’s quick ratio of 0.29 implies that Brinker International cannot currently fully meet its current financial obligations.</w:t>
      </w:r>
    </w:p>
    <w:p w:rsidR="000B2C10" w:rsidRPr="00F47D29" w:rsidRDefault="000B2C10" w:rsidP="00F47D29">
      <w:pPr>
        <w:widowControl w:val="0"/>
        <w:autoSpaceDE w:val="0"/>
        <w:autoSpaceDN w:val="0"/>
        <w:adjustRightInd w:val="0"/>
        <w:spacing w:after="0" w:line="480" w:lineRule="auto"/>
        <w:jc w:val="center"/>
        <w:rPr>
          <w:rFonts w:ascii="Times New Roman" w:eastAsia="MinionPro-Regular" w:hAnsi="Times New Roman" w:cs="Times New Roman"/>
          <w:b/>
          <w:sz w:val="24"/>
          <w:szCs w:val="24"/>
          <w:lang w:eastAsia="zh-CN"/>
        </w:rPr>
      </w:pPr>
      <w:r w:rsidRPr="00F47D29">
        <w:rPr>
          <w:rFonts w:ascii="Times New Roman" w:eastAsia="MinionPro-Regular" w:hAnsi="Times New Roman" w:cs="Times New Roman"/>
          <w:sz w:val="24"/>
          <w:szCs w:val="24"/>
          <w:lang w:eastAsia="zh-CN"/>
        </w:rPr>
        <w:t xml:space="preserve">e. </w:t>
      </w:r>
      <w:r w:rsidRPr="00F47D29">
        <w:rPr>
          <w:rFonts w:ascii="Times New Roman" w:eastAsia="MinionPro-Regular" w:hAnsi="Times New Roman" w:cs="Times New Roman"/>
          <w:b/>
          <w:sz w:val="24"/>
          <w:szCs w:val="24"/>
          <w:lang w:eastAsia="zh-CN"/>
        </w:rPr>
        <w:t>Calculate the projected debt ratio, debt-to-equity ratio, liabilities-to-assets ratio,</w:t>
      </w:r>
    </w:p>
    <w:p w:rsidR="000B2C10" w:rsidRPr="00F47D29" w:rsidRDefault="000B2C10" w:rsidP="00F47D29">
      <w:pPr>
        <w:widowControl w:val="0"/>
        <w:autoSpaceDE w:val="0"/>
        <w:autoSpaceDN w:val="0"/>
        <w:adjustRightInd w:val="0"/>
        <w:spacing w:after="0" w:line="480" w:lineRule="auto"/>
        <w:jc w:val="center"/>
        <w:rPr>
          <w:rFonts w:ascii="Times New Roman" w:eastAsia="MinionPro-Regular" w:hAnsi="Times New Roman" w:cs="Times New Roman"/>
          <w:b/>
          <w:sz w:val="24"/>
          <w:szCs w:val="24"/>
          <w:lang w:eastAsia="zh-CN"/>
        </w:rPr>
      </w:pPr>
      <w:r w:rsidRPr="00F47D29">
        <w:rPr>
          <w:rFonts w:ascii="Times New Roman" w:eastAsia="MinionPro-Regular" w:hAnsi="Times New Roman" w:cs="Times New Roman"/>
          <w:b/>
          <w:sz w:val="24"/>
          <w:szCs w:val="24"/>
          <w:lang w:eastAsia="zh-CN"/>
        </w:rPr>
        <w:t xml:space="preserve">times-interest-earned ratio, and EBITDA coverage ratios. How does </w:t>
      </w:r>
      <w:proofErr w:type="spellStart"/>
      <w:r w:rsidRPr="00F47D29">
        <w:rPr>
          <w:rFonts w:ascii="Times New Roman" w:eastAsia="MinionPro-Regular" w:hAnsi="Times New Roman" w:cs="Times New Roman"/>
          <w:b/>
          <w:sz w:val="24"/>
          <w:szCs w:val="24"/>
          <w:lang w:eastAsia="zh-CN"/>
        </w:rPr>
        <w:t>Computron</w:t>
      </w:r>
      <w:proofErr w:type="spellEnd"/>
    </w:p>
    <w:p w:rsidR="000B2C10" w:rsidRPr="00F47D29" w:rsidRDefault="000B2C10" w:rsidP="00F47D29">
      <w:pPr>
        <w:widowControl w:val="0"/>
        <w:autoSpaceDE w:val="0"/>
        <w:autoSpaceDN w:val="0"/>
        <w:adjustRightInd w:val="0"/>
        <w:spacing w:after="0" w:line="480" w:lineRule="auto"/>
        <w:jc w:val="center"/>
        <w:rPr>
          <w:rFonts w:ascii="Times New Roman" w:eastAsia="MinionPro-Regular" w:hAnsi="Times New Roman" w:cs="Times New Roman"/>
          <w:b/>
          <w:sz w:val="24"/>
          <w:szCs w:val="24"/>
          <w:lang w:eastAsia="zh-CN"/>
        </w:rPr>
      </w:pPr>
      <w:r w:rsidRPr="00F47D29">
        <w:rPr>
          <w:rFonts w:ascii="Times New Roman" w:eastAsia="MinionPro-Regular" w:hAnsi="Times New Roman" w:cs="Times New Roman"/>
          <w:b/>
          <w:sz w:val="24"/>
          <w:szCs w:val="24"/>
          <w:lang w:eastAsia="zh-CN"/>
        </w:rPr>
        <w:lastRenderedPageBreak/>
        <w:t>compare with the industry with respect to financial leverage? What can you conclude</w:t>
      </w:r>
    </w:p>
    <w:p w:rsidR="000B2C10" w:rsidRPr="00F47D29" w:rsidRDefault="000B2C10" w:rsidP="00F47D29">
      <w:pPr>
        <w:widowControl w:val="0"/>
        <w:autoSpaceDE w:val="0"/>
        <w:autoSpaceDN w:val="0"/>
        <w:adjustRightInd w:val="0"/>
        <w:spacing w:after="0" w:line="480" w:lineRule="auto"/>
        <w:jc w:val="center"/>
        <w:rPr>
          <w:rFonts w:ascii="Times New Roman" w:eastAsia="MinionPro-Regular" w:hAnsi="Times New Roman" w:cs="Times New Roman"/>
          <w:b/>
          <w:sz w:val="24"/>
          <w:szCs w:val="24"/>
          <w:lang w:eastAsia="zh-CN"/>
        </w:rPr>
      </w:pPr>
      <w:r w:rsidRPr="00F47D29">
        <w:rPr>
          <w:rFonts w:ascii="Times New Roman" w:eastAsia="MinionPro-Regular" w:hAnsi="Times New Roman" w:cs="Times New Roman"/>
          <w:b/>
          <w:sz w:val="24"/>
          <w:szCs w:val="24"/>
          <w:lang w:eastAsia="zh-CN"/>
        </w:rPr>
        <w:t>from these ratios?</w:t>
      </w:r>
    </w:p>
    <w:p w:rsidR="002C1D26" w:rsidRPr="00F47D29" w:rsidRDefault="006D3E65" w:rsidP="00F47D29">
      <w:pPr>
        <w:tabs>
          <w:tab w:val="left" w:pos="2955"/>
        </w:tabs>
        <w:spacing w:before="100" w:beforeAutospacing="1" w:after="100" w:afterAutospacing="1" w:line="480" w:lineRule="auto"/>
        <w:contextualSpacing/>
        <w:rPr>
          <w:rFonts w:ascii="Times New Roman" w:eastAsia="MinionPro-Regular" w:hAnsi="Times New Roman" w:cs="Times New Roman"/>
          <w:b/>
          <w:sz w:val="24"/>
          <w:szCs w:val="24"/>
          <w:lang w:eastAsia="zh-CN"/>
        </w:rPr>
      </w:pPr>
      <w:r w:rsidRPr="00F47D29">
        <w:rPr>
          <w:rFonts w:ascii="Times New Roman" w:eastAsia="MinionPro-Regular" w:hAnsi="Times New Roman" w:cs="Times New Roman"/>
          <w:b/>
          <w:sz w:val="24"/>
          <w:szCs w:val="24"/>
          <w:lang w:eastAsia="zh-CN"/>
        </w:rPr>
        <w:t>Debt ratio</w:t>
      </w:r>
    </w:p>
    <w:p w:rsidR="006D3E65" w:rsidRPr="00F47D29" w:rsidRDefault="006D3E65" w:rsidP="00F47D29">
      <w:pPr>
        <w:tabs>
          <w:tab w:val="left" w:pos="2955"/>
        </w:tabs>
        <w:spacing w:before="100" w:beforeAutospacing="1" w:after="100" w:afterAutospacing="1" w:line="480" w:lineRule="auto"/>
        <w:contextualSpacing/>
        <w:rPr>
          <w:rFonts w:ascii="Times New Roman" w:eastAsia="MinionPro-Regular" w:hAnsi="Times New Roman" w:cs="Times New Roman"/>
          <w:sz w:val="24"/>
          <w:szCs w:val="24"/>
          <w:lang w:eastAsia="zh-CN"/>
        </w:rPr>
      </w:pPr>
      <w:r w:rsidRPr="00F47D29">
        <w:rPr>
          <w:rFonts w:ascii="Times New Roman" w:eastAsia="MinionPro-Regular" w:hAnsi="Times New Roman" w:cs="Times New Roman"/>
          <w:sz w:val="24"/>
          <w:szCs w:val="24"/>
          <w:lang w:eastAsia="zh-CN"/>
        </w:rPr>
        <w:t>Debt ratio is a type of financial metric that measures the leverage of a company.</w:t>
      </w:r>
    </w:p>
    <w:p w:rsidR="006D3E65" w:rsidRPr="00F47D29" w:rsidRDefault="006D3E65" w:rsidP="00F47D29">
      <w:pPr>
        <w:tabs>
          <w:tab w:val="left" w:pos="2955"/>
        </w:tabs>
        <w:spacing w:before="100" w:beforeAutospacing="1" w:after="100" w:afterAutospacing="1" w:line="480" w:lineRule="auto"/>
        <w:contextualSpacing/>
        <w:rPr>
          <w:rFonts w:ascii="Times New Roman" w:eastAsia="MinionPro-Regular" w:hAnsi="Times New Roman" w:cs="Times New Roman"/>
          <w:sz w:val="24"/>
          <w:szCs w:val="24"/>
          <w:lang w:eastAsia="zh-CN"/>
        </w:rPr>
      </w:pPr>
      <w:r w:rsidRPr="00F47D29">
        <w:rPr>
          <w:rFonts w:ascii="Times New Roman" w:eastAsia="MinionPro-Regular" w:hAnsi="Times New Roman" w:cs="Times New Roman"/>
          <w:sz w:val="24"/>
          <w:szCs w:val="24"/>
          <w:lang w:eastAsia="zh-CN"/>
        </w:rPr>
        <w:t>Debt ratio=</w:t>
      </w:r>
      <m:oMath>
        <m:f>
          <m:fPr>
            <m:ctrlPr>
              <w:rPr>
                <w:rFonts w:ascii="Cambria Math" w:eastAsia="MinionPro-Regular" w:hAnsi="Cambria Math" w:cs="Times New Roman"/>
                <w:i/>
                <w:sz w:val="24"/>
                <w:szCs w:val="24"/>
                <w:lang w:eastAsia="zh-CN"/>
              </w:rPr>
            </m:ctrlPr>
          </m:fPr>
          <m:num>
            <m:r>
              <w:rPr>
                <w:rFonts w:ascii="Cambria Math" w:eastAsia="MinionPro-Regular" w:hAnsi="Cambria Math" w:cs="Times New Roman"/>
                <w:sz w:val="24"/>
                <w:szCs w:val="24"/>
                <w:lang w:eastAsia="zh-CN"/>
              </w:rPr>
              <m:t xml:space="preserve">Total debt </m:t>
            </m:r>
          </m:num>
          <m:den>
            <m:r>
              <w:rPr>
                <w:rFonts w:ascii="Cambria Math" w:eastAsia="MinionPro-Regular" w:hAnsi="Cambria Math" w:cs="Times New Roman"/>
                <w:sz w:val="24"/>
                <w:szCs w:val="24"/>
                <w:lang w:eastAsia="zh-CN"/>
              </w:rPr>
              <m:t xml:space="preserve">Total assets </m:t>
            </m:r>
          </m:den>
        </m:f>
      </m:oMath>
    </w:p>
    <w:p w:rsidR="00373D41" w:rsidRPr="00F47D29" w:rsidRDefault="00373D41" w:rsidP="00F47D29">
      <w:pPr>
        <w:tabs>
          <w:tab w:val="left" w:pos="2955"/>
        </w:tabs>
        <w:spacing w:before="100" w:beforeAutospacing="1" w:after="100" w:afterAutospacing="1" w:line="480" w:lineRule="auto"/>
        <w:contextualSpacing/>
        <w:rPr>
          <w:rFonts w:ascii="Times New Roman" w:eastAsia="MinionPro-Regular" w:hAnsi="Times New Roman" w:cs="Times New Roman"/>
          <w:sz w:val="24"/>
          <w:szCs w:val="24"/>
          <w:lang w:eastAsia="zh-CN"/>
        </w:rPr>
      </w:pPr>
      <w:r w:rsidRPr="00F47D29">
        <w:rPr>
          <w:rFonts w:ascii="Times New Roman" w:eastAsia="MinionPro-Regular" w:hAnsi="Times New Roman" w:cs="Times New Roman"/>
          <w:sz w:val="24"/>
          <w:szCs w:val="24"/>
          <w:lang w:eastAsia="zh-CN"/>
        </w:rPr>
        <w:t>Total debt= Short-term debt and lease capital obligation +long-term debt and lease capital obligation.</w:t>
      </w:r>
    </w:p>
    <w:p w:rsidR="00373D41" w:rsidRPr="00F47D29" w:rsidRDefault="00373D41" w:rsidP="00F47D29">
      <w:pPr>
        <w:tabs>
          <w:tab w:val="left" w:pos="2955"/>
        </w:tabs>
        <w:spacing w:before="100" w:beforeAutospacing="1" w:after="100" w:afterAutospacing="1" w:line="480" w:lineRule="auto"/>
        <w:contextualSpacing/>
        <w:rPr>
          <w:rFonts w:ascii="Times New Roman" w:eastAsia="MinionPro-Regular" w:hAnsi="Times New Roman" w:cs="Times New Roman"/>
          <w:sz w:val="24"/>
          <w:szCs w:val="24"/>
          <w:lang w:eastAsia="zh-CN"/>
        </w:rPr>
      </w:pPr>
      <w:r w:rsidRPr="00F47D29">
        <w:rPr>
          <w:rFonts w:ascii="Times New Roman" w:eastAsia="MinionPro-Regular" w:hAnsi="Times New Roman" w:cs="Times New Roman"/>
          <w:sz w:val="24"/>
          <w:szCs w:val="24"/>
          <w:lang w:eastAsia="zh-CN"/>
        </w:rPr>
        <w:t>Brinker International’s debt ratio for the financial year ended 2020 June is determined as:</w:t>
      </w:r>
    </w:p>
    <w:p w:rsidR="00BC2CA9" w:rsidRPr="00F47D29" w:rsidRDefault="00BC2CA9" w:rsidP="00F47D29">
      <w:pPr>
        <w:tabs>
          <w:tab w:val="left" w:pos="2955"/>
        </w:tabs>
        <w:spacing w:before="100" w:beforeAutospacing="1" w:after="100" w:afterAutospacing="1" w:line="480" w:lineRule="auto"/>
        <w:contextualSpacing/>
        <w:rPr>
          <w:rFonts w:ascii="Times New Roman" w:eastAsia="MinionPro-Regular" w:hAnsi="Times New Roman" w:cs="Times New Roman"/>
          <w:sz w:val="24"/>
          <w:szCs w:val="24"/>
          <w:lang w:eastAsia="zh-CN"/>
        </w:rPr>
      </w:pPr>
      <w:r w:rsidRPr="00F47D29">
        <w:rPr>
          <w:rFonts w:ascii="Times New Roman" w:eastAsia="MinionPro-Regular" w:hAnsi="Times New Roman" w:cs="Times New Roman"/>
          <w:sz w:val="24"/>
          <w:szCs w:val="24"/>
          <w:lang w:eastAsia="zh-CN"/>
        </w:rPr>
        <w:t>Debt ratio=</w:t>
      </w:r>
      <m:oMath>
        <m:f>
          <m:fPr>
            <m:ctrlPr>
              <w:rPr>
                <w:rFonts w:ascii="Cambria Math" w:eastAsia="MinionPro-Regular" w:hAnsi="Cambria Math" w:cs="Times New Roman"/>
                <w:i/>
                <w:sz w:val="24"/>
                <w:szCs w:val="24"/>
                <w:lang w:eastAsia="zh-CN"/>
              </w:rPr>
            </m:ctrlPr>
          </m:fPr>
          <m:num>
            <m:r>
              <w:rPr>
                <w:rFonts w:ascii="Cambria Math" w:eastAsia="MinionPro-Regular" w:hAnsi="Cambria Math" w:cs="Times New Roman"/>
                <w:sz w:val="24"/>
                <w:szCs w:val="24"/>
                <w:lang w:eastAsia="zh-CN"/>
              </w:rPr>
              <m:t>129.5+2270.1</m:t>
            </m:r>
          </m:num>
          <m:den>
            <m:r>
              <w:rPr>
                <w:rFonts w:ascii="Cambria Math" w:eastAsia="MinionPro-Regular" w:hAnsi="Cambria Math" w:cs="Times New Roman"/>
                <w:sz w:val="24"/>
                <w:szCs w:val="24"/>
                <w:lang w:eastAsia="zh-CN"/>
              </w:rPr>
              <m:t>2356</m:t>
            </m:r>
          </m:den>
        </m:f>
        <m:r>
          <w:rPr>
            <w:rFonts w:ascii="Cambria Math" w:eastAsia="MinionPro-Regular" w:hAnsi="Cambria Math" w:cs="Times New Roman"/>
            <w:sz w:val="24"/>
            <w:szCs w:val="24"/>
            <w:lang w:eastAsia="zh-CN"/>
          </w:rPr>
          <m:t>=1.02</m:t>
        </m:r>
      </m:oMath>
    </w:p>
    <w:p w:rsidR="00BC2CA9" w:rsidRPr="00F47D29" w:rsidRDefault="00BC2CA9" w:rsidP="00F47D29">
      <w:pPr>
        <w:tabs>
          <w:tab w:val="left" w:pos="2955"/>
        </w:tabs>
        <w:spacing w:before="100" w:beforeAutospacing="1" w:after="100" w:afterAutospacing="1" w:line="480" w:lineRule="auto"/>
        <w:contextualSpacing/>
        <w:rPr>
          <w:rFonts w:ascii="Times New Roman" w:eastAsia="MinionPro-Regular" w:hAnsi="Times New Roman" w:cs="Times New Roman"/>
          <w:sz w:val="24"/>
          <w:szCs w:val="24"/>
          <w:lang w:eastAsia="zh-CN"/>
        </w:rPr>
      </w:pPr>
    </w:p>
    <w:p w:rsidR="00BC2CA9" w:rsidRPr="00F47D29" w:rsidRDefault="00BC2CA9" w:rsidP="00F47D29">
      <w:pPr>
        <w:tabs>
          <w:tab w:val="left" w:pos="2955"/>
        </w:tabs>
        <w:spacing w:before="100" w:beforeAutospacing="1" w:after="100" w:afterAutospacing="1" w:line="480" w:lineRule="auto"/>
        <w:contextualSpacing/>
        <w:rPr>
          <w:rFonts w:ascii="Times New Roman" w:eastAsia="MinionPro-Regular" w:hAnsi="Times New Roman" w:cs="Times New Roman"/>
          <w:sz w:val="24"/>
          <w:szCs w:val="24"/>
          <w:lang w:eastAsia="zh-CN"/>
        </w:rPr>
      </w:pPr>
      <w:r w:rsidRPr="00F47D29">
        <w:rPr>
          <w:rFonts w:ascii="Times New Roman" w:eastAsia="MinionPro-Regular" w:hAnsi="Times New Roman" w:cs="Times New Roman"/>
          <w:sz w:val="24"/>
          <w:szCs w:val="24"/>
          <w:lang w:eastAsia="zh-CN"/>
        </w:rPr>
        <w:t>A debt ratio of 1.02</w:t>
      </w:r>
      <w:r w:rsidR="003A45FF" w:rsidRPr="00F47D29">
        <w:rPr>
          <w:rFonts w:ascii="Times New Roman" w:eastAsia="MinionPro-Regular" w:hAnsi="Times New Roman" w:cs="Times New Roman"/>
          <w:sz w:val="24"/>
          <w:szCs w:val="24"/>
          <w:lang w:eastAsia="zh-CN"/>
        </w:rPr>
        <w:t>(102%)</w:t>
      </w:r>
      <w:r w:rsidRPr="00F47D29">
        <w:rPr>
          <w:rFonts w:ascii="Times New Roman" w:eastAsia="MinionPro-Regular" w:hAnsi="Times New Roman" w:cs="Times New Roman"/>
          <w:sz w:val="24"/>
          <w:szCs w:val="24"/>
          <w:lang w:eastAsia="zh-CN"/>
        </w:rPr>
        <w:t xml:space="preserve"> indicates that Brinker International Inc. </w:t>
      </w:r>
      <w:r w:rsidR="003A45FF" w:rsidRPr="00F47D29">
        <w:rPr>
          <w:rFonts w:ascii="Times New Roman" w:eastAsia="MinionPro-Regular" w:hAnsi="Times New Roman" w:cs="Times New Roman"/>
          <w:sz w:val="24"/>
          <w:szCs w:val="24"/>
          <w:lang w:eastAsia="zh-CN"/>
        </w:rPr>
        <w:t>has more debt compared to assets. Therefore, some investors may fear to invest in the company due to this company’s debt risk level. However, other companies operating in the industry have higher debt ratios than Brinker International. For instance, Jack Inc. The Box Inc.(JACK) has a debt ratio of 1.23(123%).On the other hand, some companies have very low debt ratio than Brinker International. For example, Starbucks Coffee Japan has a debt ratio of 0.00(0%).</w:t>
      </w:r>
    </w:p>
    <w:p w:rsidR="002C1D26" w:rsidRPr="00F47D29" w:rsidRDefault="00BF75F4" w:rsidP="00F47D29">
      <w:pPr>
        <w:tabs>
          <w:tab w:val="left" w:pos="2955"/>
        </w:tabs>
        <w:spacing w:before="100" w:beforeAutospacing="1" w:after="100" w:afterAutospacing="1" w:line="480" w:lineRule="auto"/>
        <w:contextualSpacing/>
        <w:rPr>
          <w:rFonts w:ascii="Times New Roman" w:eastAsia="MinionPro-Regular" w:hAnsi="Times New Roman" w:cs="Times New Roman"/>
          <w:b/>
          <w:sz w:val="24"/>
          <w:szCs w:val="24"/>
          <w:lang w:eastAsia="zh-CN"/>
        </w:rPr>
      </w:pPr>
      <w:r w:rsidRPr="00F47D29">
        <w:rPr>
          <w:rFonts w:ascii="Times New Roman" w:eastAsia="MinionPro-Regular" w:hAnsi="Times New Roman" w:cs="Times New Roman"/>
          <w:b/>
          <w:sz w:val="24"/>
          <w:szCs w:val="24"/>
          <w:lang w:eastAsia="zh-CN"/>
        </w:rPr>
        <w:t>Debt-to-equity ratio</w:t>
      </w:r>
    </w:p>
    <w:p w:rsidR="00BF75F4" w:rsidRPr="00F47D29" w:rsidRDefault="00BF75F4" w:rsidP="00F47D29">
      <w:pPr>
        <w:tabs>
          <w:tab w:val="left" w:pos="2955"/>
        </w:tabs>
        <w:spacing w:before="100" w:beforeAutospacing="1" w:after="100" w:afterAutospacing="1" w:line="480" w:lineRule="auto"/>
        <w:contextualSpacing/>
        <w:rPr>
          <w:rFonts w:ascii="Times New Roman" w:hAnsi="Times New Roman" w:cs="Times New Roman"/>
          <w:sz w:val="24"/>
          <w:szCs w:val="24"/>
          <w:shd w:val="clear" w:color="auto" w:fill="FFFFFF"/>
        </w:rPr>
      </w:pPr>
      <w:r w:rsidRPr="00F47D29">
        <w:rPr>
          <w:rFonts w:ascii="Times New Roman" w:hAnsi="Times New Roman" w:cs="Times New Roman"/>
          <w:sz w:val="24"/>
          <w:szCs w:val="24"/>
          <w:shd w:val="clear" w:color="auto" w:fill="FFFFFF"/>
        </w:rPr>
        <w:t xml:space="preserve">Debt –to-equity ratio is a financial metric </w:t>
      </w:r>
      <w:r w:rsidR="00AA216A" w:rsidRPr="00F47D29">
        <w:rPr>
          <w:rFonts w:ascii="Times New Roman" w:hAnsi="Times New Roman" w:cs="Times New Roman"/>
          <w:sz w:val="24"/>
          <w:szCs w:val="24"/>
          <w:shd w:val="clear" w:color="auto" w:fill="FFFFFF"/>
        </w:rPr>
        <w:t>that measures the company’s financial leverage.</w:t>
      </w:r>
    </w:p>
    <w:p w:rsidR="00AA216A" w:rsidRPr="00F47D29" w:rsidRDefault="00AA216A" w:rsidP="00F47D29">
      <w:pPr>
        <w:tabs>
          <w:tab w:val="left" w:pos="2955"/>
        </w:tabs>
        <w:spacing w:before="100" w:beforeAutospacing="1" w:after="100" w:afterAutospacing="1" w:line="480" w:lineRule="auto"/>
        <w:contextualSpacing/>
        <w:rPr>
          <w:rFonts w:ascii="Times New Roman" w:eastAsiaTheme="minorEastAsia" w:hAnsi="Times New Roman" w:cs="Times New Roman"/>
          <w:sz w:val="24"/>
          <w:szCs w:val="24"/>
          <w:shd w:val="clear" w:color="auto" w:fill="FFFFFF"/>
        </w:rPr>
      </w:pPr>
      <w:r w:rsidRPr="00F47D29">
        <w:rPr>
          <w:rFonts w:ascii="Times New Roman" w:hAnsi="Times New Roman" w:cs="Times New Roman"/>
          <w:sz w:val="24"/>
          <w:szCs w:val="24"/>
          <w:shd w:val="clear" w:color="auto" w:fill="FFFFFF"/>
        </w:rPr>
        <w:t>Debt-to-equity ratio=</w:t>
      </w:r>
      <m:oMath>
        <m:f>
          <m:fPr>
            <m:ctrlPr>
              <w:rPr>
                <w:rFonts w:ascii="Cambria Math" w:hAnsi="Cambria Math" w:cs="Times New Roman"/>
                <w:i/>
                <w:sz w:val="24"/>
                <w:szCs w:val="24"/>
                <w:shd w:val="clear" w:color="auto" w:fill="FFFFFF"/>
              </w:rPr>
            </m:ctrlPr>
          </m:fPr>
          <m:num>
            <m:r>
              <w:rPr>
                <w:rFonts w:ascii="Cambria Math" w:hAnsi="Cambria Math" w:cs="Times New Roman"/>
                <w:sz w:val="24"/>
                <w:szCs w:val="24"/>
                <w:shd w:val="clear" w:color="auto" w:fill="FFFFFF"/>
              </w:rPr>
              <m:t>Total debt</m:t>
            </m:r>
          </m:num>
          <m:den>
            <m:r>
              <w:rPr>
                <w:rFonts w:ascii="Cambria Math" w:hAnsi="Cambria Math" w:cs="Times New Roman"/>
                <w:sz w:val="24"/>
                <w:szCs w:val="24"/>
                <w:shd w:val="clear" w:color="auto" w:fill="FFFFFF"/>
              </w:rPr>
              <m:t>Total shareholders equity</m:t>
            </m:r>
          </m:den>
        </m:f>
      </m:oMath>
    </w:p>
    <w:p w:rsidR="00AA216A" w:rsidRPr="00F47D29" w:rsidRDefault="00AA216A" w:rsidP="00F47D29">
      <w:pPr>
        <w:tabs>
          <w:tab w:val="left" w:pos="2955"/>
        </w:tabs>
        <w:spacing w:before="100" w:beforeAutospacing="1" w:after="100" w:afterAutospacing="1" w:line="480" w:lineRule="auto"/>
        <w:contextualSpacing/>
        <w:rPr>
          <w:rFonts w:ascii="Times New Roman" w:eastAsiaTheme="minorEastAsia" w:hAnsi="Times New Roman" w:cs="Times New Roman"/>
          <w:sz w:val="24"/>
          <w:szCs w:val="24"/>
          <w:shd w:val="clear" w:color="auto" w:fill="FFFFFF"/>
        </w:rPr>
      </w:pPr>
      <w:r w:rsidRPr="00F47D29">
        <w:rPr>
          <w:rFonts w:ascii="Times New Roman" w:eastAsiaTheme="minorEastAsia" w:hAnsi="Times New Roman" w:cs="Times New Roman"/>
          <w:sz w:val="24"/>
          <w:szCs w:val="24"/>
          <w:shd w:val="clear" w:color="auto" w:fill="FFFFFF"/>
        </w:rPr>
        <w:t xml:space="preserve">The debt-to-equity ratio for Brinker International for the financial year ended 2020 June is determined </w:t>
      </w:r>
      <w:r w:rsidR="00084FB2" w:rsidRPr="00F47D29">
        <w:rPr>
          <w:rFonts w:ascii="Times New Roman" w:eastAsiaTheme="minorEastAsia" w:hAnsi="Times New Roman" w:cs="Times New Roman"/>
          <w:sz w:val="24"/>
          <w:szCs w:val="24"/>
          <w:shd w:val="clear" w:color="auto" w:fill="FFFFFF"/>
        </w:rPr>
        <w:t>as:</w:t>
      </w:r>
    </w:p>
    <w:p w:rsidR="00084FB2" w:rsidRPr="00F47D29" w:rsidRDefault="00084FB2" w:rsidP="00F47D29">
      <w:pPr>
        <w:tabs>
          <w:tab w:val="left" w:pos="2955"/>
        </w:tabs>
        <w:spacing w:before="100" w:beforeAutospacing="1" w:after="100" w:afterAutospacing="1" w:line="480" w:lineRule="auto"/>
        <w:contextualSpacing/>
        <w:rPr>
          <w:rFonts w:ascii="Times New Roman" w:eastAsiaTheme="minorEastAsia" w:hAnsi="Times New Roman" w:cs="Times New Roman"/>
          <w:sz w:val="24"/>
          <w:szCs w:val="24"/>
          <w:shd w:val="clear" w:color="auto" w:fill="FFFFFF"/>
        </w:rPr>
      </w:pPr>
      <w:r w:rsidRPr="00F47D29">
        <w:rPr>
          <w:rFonts w:ascii="Times New Roman" w:eastAsiaTheme="minorEastAsia" w:hAnsi="Times New Roman" w:cs="Times New Roman"/>
          <w:sz w:val="24"/>
          <w:szCs w:val="24"/>
          <w:shd w:val="clear" w:color="auto" w:fill="FFFFFF"/>
        </w:rPr>
        <w:t>Brinker’s debt-to-equity ratio=</w:t>
      </w:r>
      <m:oMath>
        <m:f>
          <m:fPr>
            <m:ctrlPr>
              <w:rPr>
                <w:rFonts w:ascii="Cambria Math" w:eastAsiaTheme="minorEastAsia" w:hAnsi="Cambria Math" w:cs="Times New Roman"/>
                <w:i/>
                <w:sz w:val="24"/>
                <w:szCs w:val="24"/>
                <w:shd w:val="clear" w:color="auto" w:fill="FFFFFF"/>
              </w:rPr>
            </m:ctrlPr>
          </m:fPr>
          <m:num>
            <m:r>
              <w:rPr>
                <w:rFonts w:ascii="Cambria Math" w:eastAsiaTheme="minorEastAsia" w:hAnsi="Cambria Math" w:cs="Times New Roman"/>
                <w:sz w:val="24"/>
                <w:szCs w:val="24"/>
                <w:shd w:val="clear" w:color="auto" w:fill="FFFFFF"/>
              </w:rPr>
              <m:t>129.5+2270.1</m:t>
            </m:r>
          </m:num>
          <m:den>
            <m:r>
              <w:rPr>
                <w:rFonts w:ascii="Cambria Math" w:eastAsiaTheme="minorEastAsia" w:hAnsi="Cambria Math" w:cs="Times New Roman"/>
                <w:sz w:val="24"/>
                <w:szCs w:val="24"/>
                <w:shd w:val="clear" w:color="auto" w:fill="FFFFFF"/>
              </w:rPr>
              <m:t>-479.1</m:t>
            </m:r>
          </m:den>
        </m:f>
        <m:r>
          <w:rPr>
            <w:rFonts w:ascii="Cambria Math" w:eastAsiaTheme="minorEastAsia" w:hAnsi="Cambria Math" w:cs="Times New Roman"/>
            <w:sz w:val="24"/>
            <w:szCs w:val="24"/>
            <w:shd w:val="clear" w:color="auto" w:fill="FFFFFF"/>
          </w:rPr>
          <m:t>=-5.01</m:t>
        </m:r>
      </m:oMath>
      <w:r w:rsidRPr="00F47D29">
        <w:rPr>
          <w:rFonts w:ascii="Times New Roman" w:eastAsiaTheme="minorEastAsia" w:hAnsi="Times New Roman" w:cs="Times New Roman"/>
          <w:sz w:val="24"/>
          <w:szCs w:val="24"/>
          <w:shd w:val="clear" w:color="auto" w:fill="FFFFFF"/>
        </w:rPr>
        <w:t xml:space="preserve"> </w:t>
      </w:r>
    </w:p>
    <w:p w:rsidR="00345492" w:rsidRPr="00F47D29" w:rsidRDefault="00345492" w:rsidP="00F47D29">
      <w:pPr>
        <w:tabs>
          <w:tab w:val="left" w:pos="2955"/>
        </w:tabs>
        <w:spacing w:before="100" w:beforeAutospacing="1" w:after="100" w:afterAutospacing="1" w:line="480" w:lineRule="auto"/>
        <w:contextualSpacing/>
        <w:rPr>
          <w:rFonts w:ascii="Times New Roman" w:eastAsiaTheme="minorEastAsia" w:hAnsi="Times New Roman" w:cs="Times New Roman"/>
          <w:sz w:val="24"/>
          <w:szCs w:val="24"/>
          <w:shd w:val="clear" w:color="auto" w:fill="FFFFFF"/>
        </w:rPr>
      </w:pPr>
      <w:r w:rsidRPr="00F47D29">
        <w:rPr>
          <w:rFonts w:ascii="Times New Roman" w:eastAsiaTheme="minorEastAsia" w:hAnsi="Times New Roman" w:cs="Times New Roman"/>
          <w:sz w:val="24"/>
          <w:szCs w:val="24"/>
          <w:shd w:val="clear" w:color="auto" w:fill="FFFFFF"/>
        </w:rPr>
        <w:lastRenderedPageBreak/>
        <w:t xml:space="preserve">A debt-to-equity ratio of -5.01 indicates that Brinker Internationally has not been financing growth using debt. Hence, less additional interest and the its earnings are not volatile. Additionally, Brinker is performing well in terms of debt-to-equity ratio compared to other players in the retail industry. For instance, </w:t>
      </w:r>
      <w:r w:rsidR="00B40A1F" w:rsidRPr="00F47D29">
        <w:rPr>
          <w:rFonts w:ascii="Times New Roman" w:eastAsiaTheme="minorEastAsia" w:hAnsi="Times New Roman" w:cs="Times New Roman"/>
          <w:sz w:val="24"/>
          <w:szCs w:val="24"/>
          <w:shd w:val="clear" w:color="auto" w:fill="FFFFFF"/>
        </w:rPr>
        <w:t>Xiabuxiabu Catering M(HKSE:00520) has debt to equity ratio of 1.02(102%) and El Group PLC (LSE: EIG) has debt to equity ratio of 1.44(144%). On the other hand, there firms managing their financial leverage well than Brinker International. For example,</w:t>
      </w:r>
      <w:r w:rsidR="00B40A1F" w:rsidRPr="00F47D29">
        <w:rPr>
          <w:rFonts w:ascii="Times New Roman" w:hAnsi="Times New Roman" w:cs="Times New Roman"/>
          <w:color w:val="333333"/>
          <w:sz w:val="24"/>
          <w:szCs w:val="24"/>
          <w:shd w:val="clear" w:color="auto" w:fill="FFFFFF"/>
        </w:rPr>
        <w:t xml:space="preserve"> Domino's Pizza Group (LSE: DOM) has debt to equity ratio of -28.61.</w:t>
      </w:r>
    </w:p>
    <w:p w:rsidR="002C1D26" w:rsidRPr="00F47D29" w:rsidRDefault="00FA67B5" w:rsidP="00F47D29">
      <w:pPr>
        <w:tabs>
          <w:tab w:val="left" w:pos="2955"/>
        </w:tabs>
        <w:spacing w:before="100" w:beforeAutospacing="1" w:after="100" w:afterAutospacing="1" w:line="480" w:lineRule="auto"/>
        <w:contextualSpacing/>
        <w:rPr>
          <w:rFonts w:ascii="Times New Roman" w:eastAsia="MinionPro-Regular" w:hAnsi="Times New Roman" w:cs="Times New Roman"/>
          <w:b/>
          <w:sz w:val="24"/>
          <w:szCs w:val="24"/>
          <w:lang w:eastAsia="zh-CN"/>
        </w:rPr>
      </w:pPr>
      <w:r w:rsidRPr="00F47D29">
        <w:rPr>
          <w:rFonts w:ascii="Times New Roman" w:eastAsia="MinionPro-Regular" w:hAnsi="Times New Roman" w:cs="Times New Roman"/>
          <w:b/>
          <w:sz w:val="24"/>
          <w:szCs w:val="24"/>
          <w:lang w:eastAsia="zh-CN"/>
        </w:rPr>
        <w:t>Liabilities-to-assets ratio</w:t>
      </w:r>
    </w:p>
    <w:p w:rsidR="00FA67B5" w:rsidRPr="00F47D29" w:rsidRDefault="00593639" w:rsidP="00F47D29">
      <w:pPr>
        <w:tabs>
          <w:tab w:val="left" w:pos="2955"/>
        </w:tabs>
        <w:spacing w:before="100" w:beforeAutospacing="1" w:after="100" w:afterAutospacing="1" w:line="480" w:lineRule="auto"/>
        <w:contextualSpacing/>
        <w:rPr>
          <w:rFonts w:ascii="Times New Roman" w:hAnsi="Times New Roman" w:cs="Times New Roman"/>
          <w:sz w:val="24"/>
          <w:szCs w:val="24"/>
          <w:shd w:val="clear" w:color="auto" w:fill="FFFFFF"/>
        </w:rPr>
      </w:pPr>
      <w:r w:rsidRPr="00F47D29">
        <w:rPr>
          <w:rFonts w:ascii="Times New Roman" w:hAnsi="Times New Roman" w:cs="Times New Roman"/>
          <w:sz w:val="24"/>
          <w:szCs w:val="24"/>
          <w:shd w:val="clear" w:color="auto" w:fill="FFFFFF"/>
        </w:rPr>
        <w:t xml:space="preserve">Liability-to-asset ratio </w:t>
      </w:r>
      <w:r w:rsidR="00752F6B" w:rsidRPr="00F47D29">
        <w:rPr>
          <w:rFonts w:ascii="Times New Roman" w:hAnsi="Times New Roman" w:cs="Times New Roman"/>
          <w:sz w:val="24"/>
          <w:szCs w:val="24"/>
          <w:shd w:val="clear" w:color="auto" w:fill="FFFFFF"/>
        </w:rPr>
        <w:t>is financial metric that measures percentage of the assets of the company</w:t>
      </w:r>
      <w:r w:rsidR="009673F4" w:rsidRPr="00F47D29">
        <w:rPr>
          <w:rFonts w:ascii="Times New Roman" w:hAnsi="Times New Roman" w:cs="Times New Roman"/>
          <w:sz w:val="24"/>
          <w:szCs w:val="24"/>
          <w:shd w:val="clear" w:color="auto" w:fill="FFFFFF"/>
        </w:rPr>
        <w:t xml:space="preserve"> that are financed by long-term financial obligations and loans</w:t>
      </w:r>
      <w:sdt>
        <w:sdtPr>
          <w:rPr>
            <w:rFonts w:ascii="Times New Roman" w:hAnsi="Times New Roman" w:cs="Times New Roman"/>
            <w:sz w:val="24"/>
            <w:szCs w:val="24"/>
            <w:shd w:val="clear" w:color="auto" w:fill="FFFFFF"/>
          </w:rPr>
          <w:id w:val="-2099398380"/>
          <w:citation/>
        </w:sdtPr>
        <w:sdtContent>
          <w:r w:rsidR="009B7592">
            <w:rPr>
              <w:rFonts w:ascii="Times New Roman" w:hAnsi="Times New Roman" w:cs="Times New Roman"/>
              <w:sz w:val="24"/>
              <w:szCs w:val="24"/>
              <w:shd w:val="clear" w:color="auto" w:fill="FFFFFF"/>
            </w:rPr>
            <w:fldChar w:fldCharType="begin"/>
          </w:r>
          <w:r w:rsidR="009B7592">
            <w:rPr>
              <w:rFonts w:ascii="Times New Roman" w:hAnsi="Times New Roman" w:cs="Times New Roman"/>
              <w:sz w:val="24"/>
              <w:szCs w:val="24"/>
              <w:shd w:val="clear" w:color="auto" w:fill="FFFFFF"/>
            </w:rPr>
            <w:instrText xml:space="preserve"> CITATION Bar06 \l 1033 </w:instrText>
          </w:r>
          <w:r w:rsidR="009B7592">
            <w:rPr>
              <w:rFonts w:ascii="Times New Roman" w:hAnsi="Times New Roman" w:cs="Times New Roman"/>
              <w:sz w:val="24"/>
              <w:szCs w:val="24"/>
              <w:shd w:val="clear" w:color="auto" w:fill="FFFFFF"/>
            </w:rPr>
            <w:fldChar w:fldCharType="separate"/>
          </w:r>
          <w:r w:rsidR="009B7592">
            <w:rPr>
              <w:rFonts w:ascii="Times New Roman" w:hAnsi="Times New Roman" w:cs="Times New Roman"/>
              <w:noProof/>
              <w:sz w:val="24"/>
              <w:szCs w:val="24"/>
              <w:shd w:val="clear" w:color="auto" w:fill="FFFFFF"/>
            </w:rPr>
            <w:t xml:space="preserve"> </w:t>
          </w:r>
          <w:r w:rsidR="009B7592" w:rsidRPr="009B7592">
            <w:rPr>
              <w:rFonts w:ascii="Times New Roman" w:hAnsi="Times New Roman" w:cs="Times New Roman"/>
              <w:noProof/>
              <w:sz w:val="24"/>
              <w:szCs w:val="24"/>
              <w:shd w:val="clear" w:color="auto" w:fill="FFFFFF"/>
            </w:rPr>
            <w:t>(Barnes, 2006)</w:t>
          </w:r>
          <w:r w:rsidR="009B7592">
            <w:rPr>
              <w:rFonts w:ascii="Times New Roman" w:hAnsi="Times New Roman" w:cs="Times New Roman"/>
              <w:sz w:val="24"/>
              <w:szCs w:val="24"/>
              <w:shd w:val="clear" w:color="auto" w:fill="FFFFFF"/>
            </w:rPr>
            <w:fldChar w:fldCharType="end"/>
          </w:r>
        </w:sdtContent>
      </w:sdt>
      <w:r w:rsidR="009673F4" w:rsidRPr="00F47D29">
        <w:rPr>
          <w:rFonts w:ascii="Times New Roman" w:hAnsi="Times New Roman" w:cs="Times New Roman"/>
          <w:sz w:val="24"/>
          <w:szCs w:val="24"/>
          <w:shd w:val="clear" w:color="auto" w:fill="FFFFFF"/>
        </w:rPr>
        <w:t>. This ratio measures the ability of the organization to meet long-term financial obligations</w:t>
      </w:r>
    </w:p>
    <w:p w:rsidR="002C1D26" w:rsidRPr="00F47D29" w:rsidRDefault="008725B6" w:rsidP="00F47D29">
      <w:pPr>
        <w:tabs>
          <w:tab w:val="left" w:pos="2955"/>
        </w:tabs>
        <w:spacing w:before="100" w:beforeAutospacing="1" w:after="100" w:afterAutospacing="1" w:line="480" w:lineRule="auto"/>
        <w:contextualSpacing/>
        <w:rPr>
          <w:rFonts w:ascii="Times New Roman" w:hAnsi="Times New Roman" w:cs="Times New Roman"/>
          <w:sz w:val="24"/>
          <w:szCs w:val="24"/>
          <w:shd w:val="clear" w:color="auto" w:fill="FFFFFF"/>
        </w:rPr>
      </w:pPr>
      <w:r w:rsidRPr="00F47D29">
        <w:rPr>
          <w:rFonts w:ascii="Times New Roman" w:hAnsi="Times New Roman" w:cs="Times New Roman"/>
          <w:sz w:val="24"/>
          <w:szCs w:val="24"/>
          <w:shd w:val="clear" w:color="auto" w:fill="FFFFFF"/>
        </w:rPr>
        <w:t xml:space="preserve">Brinker International’s liability to asset ratio for the financial year ended 2020 June is determined as: </w:t>
      </w:r>
    </w:p>
    <w:p w:rsidR="008725B6" w:rsidRPr="00F47D29" w:rsidRDefault="008725B6" w:rsidP="00F47D29">
      <w:pPr>
        <w:tabs>
          <w:tab w:val="left" w:pos="2955"/>
        </w:tabs>
        <w:spacing w:before="100" w:beforeAutospacing="1" w:after="100" w:afterAutospacing="1" w:line="480" w:lineRule="auto"/>
        <w:contextualSpacing/>
        <w:rPr>
          <w:rFonts w:ascii="Times New Roman" w:eastAsia="MinionPro-Regular" w:hAnsi="Times New Roman" w:cs="Times New Roman"/>
          <w:sz w:val="24"/>
          <w:szCs w:val="24"/>
          <w:lang w:eastAsia="zh-CN"/>
        </w:rPr>
      </w:pPr>
      <w:r w:rsidRPr="00F47D29">
        <w:rPr>
          <w:rFonts w:ascii="Times New Roman" w:eastAsia="MinionPro-Regular" w:hAnsi="Times New Roman" w:cs="Times New Roman"/>
          <w:sz w:val="24"/>
          <w:szCs w:val="24"/>
          <w:lang w:eastAsia="zh-CN"/>
        </w:rPr>
        <w:t>Liabilities-to-assets ratio=</w:t>
      </w:r>
      <m:oMath>
        <m:f>
          <m:fPr>
            <m:ctrlPr>
              <w:rPr>
                <w:rFonts w:ascii="Cambria Math" w:eastAsia="MinionPro-Regular" w:hAnsi="Cambria Math" w:cs="Times New Roman"/>
                <w:i/>
                <w:sz w:val="24"/>
                <w:szCs w:val="24"/>
                <w:lang w:eastAsia="zh-CN"/>
              </w:rPr>
            </m:ctrlPr>
          </m:fPr>
          <m:num>
            <m:r>
              <w:rPr>
                <w:rFonts w:ascii="Cambria Math" w:eastAsia="MinionPro-Regular" w:hAnsi="Cambria Math" w:cs="Times New Roman"/>
                <w:sz w:val="24"/>
                <w:szCs w:val="24"/>
                <w:lang w:eastAsia="zh-CN"/>
              </w:rPr>
              <m:t>Long-term ebt and Capital Lease Obligation</m:t>
            </m:r>
          </m:num>
          <m:den>
            <m:r>
              <w:rPr>
                <w:rFonts w:ascii="Cambria Math" w:eastAsia="MinionPro-Regular" w:hAnsi="Cambria Math" w:cs="Times New Roman"/>
                <w:sz w:val="24"/>
                <w:szCs w:val="24"/>
                <w:lang w:eastAsia="zh-CN"/>
              </w:rPr>
              <m:t xml:space="preserve">Total Assets </m:t>
            </m:r>
          </m:den>
        </m:f>
        <m:r>
          <w:rPr>
            <w:rFonts w:ascii="Cambria Math" w:eastAsia="MinionPro-Regular" w:hAnsi="Cambria Math" w:cs="Times New Roman"/>
            <w:sz w:val="24"/>
            <w:szCs w:val="24"/>
            <w:lang w:eastAsia="zh-CN"/>
          </w:rPr>
          <m:t>=</m:t>
        </m:r>
        <m:f>
          <m:fPr>
            <m:ctrlPr>
              <w:rPr>
                <w:rFonts w:ascii="Cambria Math" w:eastAsia="MinionPro-Regular" w:hAnsi="Cambria Math" w:cs="Times New Roman"/>
                <w:i/>
                <w:sz w:val="24"/>
                <w:szCs w:val="24"/>
                <w:lang w:eastAsia="zh-CN"/>
              </w:rPr>
            </m:ctrlPr>
          </m:fPr>
          <m:num>
            <m:r>
              <w:rPr>
                <w:rFonts w:ascii="Cambria Math" w:eastAsia="MinionPro-Regular" w:hAnsi="Cambria Math" w:cs="Times New Roman"/>
                <w:sz w:val="24"/>
                <w:szCs w:val="24"/>
                <w:lang w:eastAsia="zh-CN"/>
              </w:rPr>
              <m:t>2270</m:t>
            </m:r>
          </m:num>
          <m:den>
            <m:r>
              <w:rPr>
                <w:rFonts w:ascii="Cambria Math" w:eastAsia="MinionPro-Regular" w:hAnsi="Cambria Math" w:cs="Times New Roman"/>
                <w:sz w:val="24"/>
                <w:szCs w:val="24"/>
                <w:lang w:eastAsia="zh-CN"/>
              </w:rPr>
              <m:t>2356</m:t>
            </m:r>
          </m:den>
        </m:f>
        <m:r>
          <w:rPr>
            <w:rFonts w:ascii="Cambria Math" w:eastAsia="MinionPro-Regular" w:hAnsi="Cambria Math" w:cs="Times New Roman"/>
            <w:sz w:val="24"/>
            <w:szCs w:val="24"/>
            <w:lang w:eastAsia="zh-CN"/>
          </w:rPr>
          <m:t>=0.96</m:t>
        </m:r>
      </m:oMath>
    </w:p>
    <w:p w:rsidR="00C50487" w:rsidRPr="00F47D29" w:rsidRDefault="00810949" w:rsidP="00F47D29">
      <w:pPr>
        <w:tabs>
          <w:tab w:val="left" w:pos="2955"/>
        </w:tabs>
        <w:spacing w:before="100" w:beforeAutospacing="1" w:after="100" w:afterAutospacing="1" w:line="480" w:lineRule="auto"/>
        <w:contextualSpacing/>
        <w:rPr>
          <w:rFonts w:ascii="Times New Roman" w:hAnsi="Times New Roman" w:cs="Times New Roman"/>
          <w:sz w:val="24"/>
          <w:szCs w:val="24"/>
          <w:shd w:val="clear" w:color="auto" w:fill="FFFFFF"/>
        </w:rPr>
      </w:pPr>
      <w:r w:rsidRPr="00F47D29">
        <w:rPr>
          <w:rFonts w:ascii="Times New Roman" w:eastAsia="MinionPro-Regular" w:hAnsi="Times New Roman" w:cs="Times New Roman"/>
          <w:b/>
          <w:sz w:val="24"/>
          <w:szCs w:val="24"/>
          <w:lang w:eastAsia="zh-CN"/>
        </w:rPr>
        <w:t>Times-interest-earned ratio</w:t>
      </w:r>
    </w:p>
    <w:p w:rsidR="00427A0E" w:rsidRPr="00F47D29" w:rsidRDefault="00427A0E" w:rsidP="00F47D29">
      <w:pPr>
        <w:tabs>
          <w:tab w:val="left" w:pos="2955"/>
        </w:tabs>
        <w:spacing w:before="100" w:beforeAutospacing="1" w:after="100" w:afterAutospacing="1" w:line="480" w:lineRule="auto"/>
        <w:contextualSpacing/>
        <w:rPr>
          <w:rFonts w:ascii="Times New Roman" w:hAnsi="Times New Roman" w:cs="Times New Roman"/>
          <w:sz w:val="24"/>
          <w:szCs w:val="24"/>
          <w:shd w:val="clear" w:color="auto" w:fill="FFFFFF"/>
        </w:rPr>
      </w:pPr>
      <w:r w:rsidRPr="00F47D29">
        <w:rPr>
          <w:rFonts w:ascii="Times New Roman" w:hAnsi="Times New Roman" w:cs="Times New Roman"/>
          <w:sz w:val="24"/>
          <w:szCs w:val="24"/>
          <w:shd w:val="clear" w:color="auto" w:fill="FFFFFF"/>
        </w:rPr>
        <w:t xml:space="preserve">Times-interest –earned ratio is a financial metric that the measures that ability of an organization </w:t>
      </w:r>
      <w:r w:rsidR="00265D36" w:rsidRPr="00F47D29">
        <w:rPr>
          <w:rFonts w:ascii="Times New Roman" w:hAnsi="Times New Roman" w:cs="Times New Roman"/>
          <w:sz w:val="24"/>
          <w:szCs w:val="24"/>
          <w:shd w:val="clear" w:color="auto" w:fill="FFFFFF"/>
        </w:rPr>
        <w:t>to fully meet its debt obligation on timely basis.</w:t>
      </w:r>
    </w:p>
    <w:p w:rsidR="00265D36" w:rsidRPr="00F47D29" w:rsidRDefault="00265D36" w:rsidP="00F47D29">
      <w:pPr>
        <w:tabs>
          <w:tab w:val="left" w:pos="2955"/>
        </w:tabs>
        <w:spacing w:before="100" w:beforeAutospacing="1" w:after="100" w:afterAutospacing="1" w:line="480" w:lineRule="auto"/>
        <w:contextualSpacing/>
        <w:rPr>
          <w:rFonts w:ascii="Times New Roman" w:eastAsiaTheme="minorEastAsia" w:hAnsi="Times New Roman" w:cs="Times New Roman"/>
          <w:sz w:val="24"/>
          <w:szCs w:val="24"/>
          <w:shd w:val="clear" w:color="auto" w:fill="FFFFFF"/>
        </w:rPr>
      </w:pPr>
      <w:r w:rsidRPr="00F47D29">
        <w:rPr>
          <w:rFonts w:ascii="Times New Roman" w:hAnsi="Times New Roman" w:cs="Times New Roman"/>
          <w:sz w:val="24"/>
          <w:szCs w:val="24"/>
          <w:shd w:val="clear" w:color="auto" w:fill="FFFFFF"/>
        </w:rPr>
        <w:t>Times-interest-earned ratio=</w:t>
      </w:r>
      <m:oMath>
        <m:f>
          <m:fPr>
            <m:ctrlPr>
              <w:rPr>
                <w:rFonts w:ascii="Cambria Math" w:hAnsi="Cambria Math" w:cs="Times New Roman"/>
                <w:i/>
                <w:sz w:val="24"/>
                <w:szCs w:val="24"/>
                <w:shd w:val="clear" w:color="auto" w:fill="FFFFFF"/>
              </w:rPr>
            </m:ctrlPr>
          </m:fPr>
          <m:num>
            <m:r>
              <w:rPr>
                <w:rFonts w:ascii="Cambria Math" w:hAnsi="Cambria Math" w:cs="Times New Roman"/>
                <w:sz w:val="24"/>
                <w:szCs w:val="24"/>
                <w:shd w:val="clear" w:color="auto" w:fill="FFFFFF"/>
              </w:rPr>
              <m:t>EBIT</m:t>
            </m:r>
          </m:num>
          <m:den>
            <m:r>
              <w:rPr>
                <w:rFonts w:ascii="Cambria Math" w:hAnsi="Cambria Math" w:cs="Times New Roman"/>
                <w:sz w:val="24"/>
                <w:szCs w:val="24"/>
                <w:shd w:val="clear" w:color="auto" w:fill="FFFFFF"/>
              </w:rPr>
              <m:t xml:space="preserve">Interest Expense </m:t>
            </m:r>
          </m:den>
        </m:f>
      </m:oMath>
    </w:p>
    <w:p w:rsidR="00265D36" w:rsidRPr="00F47D29" w:rsidRDefault="00265D36" w:rsidP="00F47D29">
      <w:pPr>
        <w:tabs>
          <w:tab w:val="left" w:pos="2955"/>
        </w:tabs>
        <w:spacing w:before="100" w:beforeAutospacing="1" w:after="100" w:afterAutospacing="1" w:line="480" w:lineRule="auto"/>
        <w:contextualSpacing/>
        <w:rPr>
          <w:rFonts w:ascii="Times New Roman" w:eastAsiaTheme="minorEastAsia" w:hAnsi="Times New Roman" w:cs="Times New Roman"/>
          <w:sz w:val="24"/>
          <w:szCs w:val="24"/>
          <w:shd w:val="clear" w:color="auto" w:fill="FFFFFF"/>
        </w:rPr>
      </w:pPr>
      <w:r w:rsidRPr="00F47D29">
        <w:rPr>
          <w:rFonts w:ascii="Times New Roman" w:eastAsiaTheme="minorEastAsia" w:hAnsi="Times New Roman" w:cs="Times New Roman"/>
          <w:sz w:val="24"/>
          <w:szCs w:val="24"/>
          <w:shd w:val="clear" w:color="auto" w:fill="FFFFFF"/>
        </w:rPr>
        <w:t>Brinker International’s times-interest –earned ratio for the financial year ended 2020 June is determined as:</w:t>
      </w:r>
    </w:p>
    <w:p w:rsidR="00265D36" w:rsidRPr="00F47D29" w:rsidRDefault="00265D36" w:rsidP="00F47D29">
      <w:pPr>
        <w:tabs>
          <w:tab w:val="left" w:pos="2955"/>
        </w:tabs>
        <w:spacing w:before="100" w:beforeAutospacing="1" w:after="100" w:afterAutospacing="1" w:line="480" w:lineRule="auto"/>
        <w:contextualSpacing/>
        <w:rPr>
          <w:rFonts w:ascii="Times New Roman" w:eastAsiaTheme="minorEastAsia" w:hAnsi="Times New Roman" w:cs="Times New Roman"/>
          <w:sz w:val="24"/>
          <w:szCs w:val="24"/>
          <w:shd w:val="clear" w:color="auto" w:fill="FFFFFF"/>
        </w:rPr>
      </w:pPr>
      <w:r w:rsidRPr="00F47D29">
        <w:rPr>
          <w:rFonts w:ascii="Times New Roman" w:eastAsiaTheme="minorEastAsia" w:hAnsi="Times New Roman" w:cs="Times New Roman"/>
          <w:sz w:val="24"/>
          <w:szCs w:val="24"/>
          <w:shd w:val="clear" w:color="auto" w:fill="FFFFFF"/>
        </w:rPr>
        <w:t>Brinker’s time-interest-earned ratio=</w:t>
      </w:r>
      <m:oMath>
        <m:f>
          <m:fPr>
            <m:ctrlPr>
              <w:rPr>
                <w:rFonts w:ascii="Cambria Math" w:eastAsiaTheme="minorEastAsia" w:hAnsi="Cambria Math" w:cs="Times New Roman"/>
                <w:i/>
                <w:sz w:val="24"/>
                <w:szCs w:val="24"/>
                <w:shd w:val="clear" w:color="auto" w:fill="FFFFFF"/>
              </w:rPr>
            </m:ctrlPr>
          </m:fPr>
          <m:num>
            <m:r>
              <w:rPr>
                <w:rFonts w:ascii="Cambria Math" w:eastAsiaTheme="minorEastAsia" w:hAnsi="Cambria Math" w:cs="Times New Roman"/>
                <w:sz w:val="24"/>
                <w:szCs w:val="24"/>
                <w:shd w:val="clear" w:color="auto" w:fill="FFFFFF"/>
              </w:rPr>
              <m:t>-1×110</m:t>
            </m:r>
          </m:num>
          <m:den>
            <m:r>
              <w:rPr>
                <w:rFonts w:ascii="Cambria Math" w:eastAsiaTheme="minorEastAsia" w:hAnsi="Cambria Math" w:cs="Times New Roman"/>
                <w:sz w:val="24"/>
                <w:szCs w:val="24"/>
                <w:shd w:val="clear" w:color="auto" w:fill="FFFFFF"/>
              </w:rPr>
              <m:t>-59.6</m:t>
            </m:r>
          </m:den>
        </m:f>
        <m:r>
          <w:rPr>
            <w:rFonts w:ascii="Cambria Math" w:eastAsiaTheme="minorEastAsia" w:hAnsi="Cambria Math" w:cs="Times New Roman"/>
            <w:sz w:val="24"/>
            <w:szCs w:val="24"/>
            <w:shd w:val="clear" w:color="auto" w:fill="FFFFFF"/>
          </w:rPr>
          <m:t>=1.85</m:t>
        </m:r>
      </m:oMath>
    </w:p>
    <w:p w:rsidR="00382761" w:rsidRPr="00F47D29" w:rsidRDefault="00382761" w:rsidP="00F47D29">
      <w:pPr>
        <w:tabs>
          <w:tab w:val="left" w:pos="2955"/>
        </w:tabs>
        <w:spacing w:before="100" w:beforeAutospacing="1" w:after="100" w:afterAutospacing="1" w:line="480" w:lineRule="auto"/>
        <w:contextualSpacing/>
        <w:rPr>
          <w:rFonts w:ascii="Times New Roman" w:hAnsi="Times New Roman" w:cs="Times New Roman"/>
          <w:sz w:val="24"/>
          <w:szCs w:val="24"/>
          <w:shd w:val="clear" w:color="auto" w:fill="FFFFFF"/>
        </w:rPr>
      </w:pPr>
      <w:r w:rsidRPr="00F47D29">
        <w:rPr>
          <w:rFonts w:ascii="Times New Roman" w:eastAsiaTheme="minorEastAsia" w:hAnsi="Times New Roman" w:cs="Times New Roman"/>
          <w:sz w:val="24"/>
          <w:szCs w:val="24"/>
          <w:shd w:val="clear" w:color="auto" w:fill="FFFFFF"/>
        </w:rPr>
        <w:lastRenderedPageBreak/>
        <w:t xml:space="preserve">The industry’s time-interest-earned ratio is 5. </w:t>
      </w:r>
      <w:r w:rsidR="007A08A5" w:rsidRPr="00F47D29">
        <w:rPr>
          <w:rFonts w:ascii="Times New Roman" w:eastAsiaTheme="minorEastAsia" w:hAnsi="Times New Roman" w:cs="Times New Roman"/>
          <w:sz w:val="24"/>
          <w:szCs w:val="24"/>
          <w:shd w:val="clear" w:color="auto" w:fill="FFFFFF"/>
        </w:rPr>
        <w:t>Hence,</w:t>
      </w:r>
      <w:r w:rsidRPr="00F47D29">
        <w:rPr>
          <w:rFonts w:ascii="Times New Roman" w:eastAsiaTheme="minorEastAsia" w:hAnsi="Times New Roman" w:cs="Times New Roman"/>
          <w:sz w:val="24"/>
          <w:szCs w:val="24"/>
          <w:shd w:val="clear" w:color="auto" w:fill="FFFFFF"/>
        </w:rPr>
        <w:t xml:space="preserve"> Brinker’s time-interest-earned ratio of 1.85 is low.</w:t>
      </w:r>
    </w:p>
    <w:p w:rsidR="006D3E65" w:rsidRPr="00F47D29" w:rsidRDefault="007A08A5" w:rsidP="00F47D29">
      <w:pPr>
        <w:spacing w:after="0" w:line="480" w:lineRule="auto"/>
        <w:ind w:left="720" w:hanging="720"/>
        <w:rPr>
          <w:rFonts w:ascii="Times New Roman" w:hAnsi="Times New Roman" w:cs="Times New Roman"/>
          <w:sz w:val="24"/>
          <w:szCs w:val="24"/>
          <w:shd w:val="clear" w:color="auto" w:fill="FFFFFF"/>
        </w:rPr>
      </w:pPr>
      <w:r w:rsidRPr="00F47D29">
        <w:rPr>
          <w:rFonts w:ascii="Times New Roman" w:eastAsia="MinionPro-Regular" w:hAnsi="Times New Roman" w:cs="Times New Roman"/>
          <w:b/>
          <w:sz w:val="24"/>
          <w:szCs w:val="24"/>
          <w:lang w:eastAsia="zh-CN"/>
        </w:rPr>
        <w:t>EBITDA coverage ratio</w:t>
      </w:r>
    </w:p>
    <w:p w:rsidR="006D3E65" w:rsidRPr="00F47D29" w:rsidRDefault="00C50487" w:rsidP="00F47D29">
      <w:pPr>
        <w:spacing w:after="0" w:line="480" w:lineRule="auto"/>
        <w:ind w:firstLine="720"/>
        <w:rPr>
          <w:rFonts w:ascii="Times New Roman" w:hAnsi="Times New Roman" w:cs="Times New Roman"/>
          <w:sz w:val="24"/>
          <w:szCs w:val="24"/>
          <w:shd w:val="clear" w:color="auto" w:fill="FFFFFF"/>
        </w:rPr>
      </w:pPr>
      <w:r w:rsidRPr="00F47D29">
        <w:rPr>
          <w:rFonts w:ascii="Times New Roman" w:hAnsi="Times New Roman" w:cs="Times New Roman"/>
          <w:sz w:val="24"/>
          <w:szCs w:val="24"/>
          <w:shd w:val="clear" w:color="auto" w:fill="FFFFFF"/>
        </w:rPr>
        <w:t>EBITDA coverage ratio is solvency metric that measures the ability of an organization to pay off its leases and debts using EBITDA</w:t>
      </w:r>
    </w:p>
    <w:p w:rsidR="004F2097" w:rsidRPr="00F47D29" w:rsidRDefault="004F2097" w:rsidP="00F47D29">
      <w:pPr>
        <w:spacing w:after="0" w:line="480" w:lineRule="auto"/>
        <w:rPr>
          <w:rFonts w:ascii="Times New Roman" w:eastAsia="MinionPro-Regular" w:hAnsi="Times New Roman" w:cs="Times New Roman"/>
          <w:sz w:val="24"/>
          <w:szCs w:val="24"/>
          <w:lang w:eastAsia="zh-CN"/>
        </w:rPr>
      </w:pPr>
      <w:r w:rsidRPr="00F47D29">
        <w:rPr>
          <w:rFonts w:ascii="Times New Roman" w:eastAsia="MinionPro-Regular" w:hAnsi="Times New Roman" w:cs="Times New Roman"/>
          <w:sz w:val="24"/>
          <w:szCs w:val="24"/>
          <w:lang w:eastAsia="zh-CN"/>
        </w:rPr>
        <w:t>EBITDA coverage ratio=</w:t>
      </w:r>
      <m:oMath>
        <m:f>
          <m:fPr>
            <m:ctrlPr>
              <w:rPr>
                <w:rFonts w:ascii="Cambria Math" w:eastAsia="MinionPro-Regular" w:hAnsi="Cambria Math" w:cs="Times New Roman"/>
                <w:i/>
                <w:sz w:val="24"/>
                <w:szCs w:val="24"/>
                <w:lang w:eastAsia="zh-CN"/>
              </w:rPr>
            </m:ctrlPr>
          </m:fPr>
          <m:num>
            <m:r>
              <w:rPr>
                <w:rFonts w:ascii="Cambria Math" w:eastAsia="MinionPro-Regular" w:hAnsi="Cambria Math" w:cs="Times New Roman"/>
                <w:sz w:val="24"/>
                <w:szCs w:val="24"/>
                <w:lang w:eastAsia="zh-CN"/>
              </w:rPr>
              <m:t>EBITDA+Lease Payments</m:t>
            </m:r>
          </m:num>
          <m:den>
            <m:r>
              <w:rPr>
                <w:rFonts w:ascii="Cambria Math" w:eastAsia="MinionPro-Regular" w:hAnsi="Cambria Math" w:cs="Times New Roman"/>
                <w:sz w:val="24"/>
                <w:szCs w:val="24"/>
                <w:lang w:eastAsia="zh-CN"/>
              </w:rPr>
              <m:t>Interest payments+Principal Payments+Lease Payments</m:t>
            </m:r>
          </m:den>
        </m:f>
      </m:oMath>
    </w:p>
    <w:p w:rsidR="00B725D4" w:rsidRPr="00F47D29" w:rsidRDefault="00B725D4" w:rsidP="00F47D29">
      <w:pPr>
        <w:spacing w:after="0" w:line="480" w:lineRule="auto"/>
        <w:rPr>
          <w:rFonts w:ascii="Times New Roman" w:hAnsi="Times New Roman" w:cs="Times New Roman"/>
          <w:sz w:val="24"/>
          <w:szCs w:val="24"/>
          <w:shd w:val="clear" w:color="auto" w:fill="FFFFFF"/>
        </w:rPr>
      </w:pPr>
      <w:r w:rsidRPr="00F47D29">
        <w:rPr>
          <w:rFonts w:ascii="Times New Roman" w:eastAsia="MinionPro-Regular" w:hAnsi="Times New Roman" w:cs="Times New Roman"/>
          <w:sz w:val="24"/>
          <w:szCs w:val="24"/>
          <w:lang w:eastAsia="zh-CN"/>
        </w:rPr>
        <w:t>Brinker International’s EBITDA coverage ratio for the financial year ended 2020 June is determined as:</w:t>
      </w:r>
    </w:p>
    <w:p w:rsidR="008942D1" w:rsidRPr="00F47D29" w:rsidRDefault="00B725D4" w:rsidP="00F47D29">
      <w:pPr>
        <w:spacing w:after="0" w:line="480" w:lineRule="auto"/>
        <w:rPr>
          <w:rFonts w:ascii="Times New Roman" w:hAnsi="Times New Roman" w:cs="Times New Roman"/>
          <w:sz w:val="24"/>
          <w:szCs w:val="24"/>
          <w:shd w:val="clear" w:color="auto" w:fill="FFFFFF"/>
        </w:rPr>
      </w:pPr>
      <w:r w:rsidRPr="00F47D29">
        <w:rPr>
          <w:rFonts w:ascii="Times New Roman" w:hAnsi="Times New Roman" w:cs="Times New Roman"/>
          <w:sz w:val="24"/>
          <w:szCs w:val="24"/>
          <w:shd w:val="clear" w:color="auto" w:fill="FFFFFF"/>
        </w:rPr>
        <w:t>EBITDA coverage ratio=</w:t>
      </w:r>
      <m:oMath>
        <m:f>
          <m:fPr>
            <m:ctrlPr>
              <w:rPr>
                <w:rFonts w:ascii="Cambria Math" w:hAnsi="Cambria Math" w:cs="Times New Roman"/>
                <w:i/>
                <w:sz w:val="24"/>
                <w:szCs w:val="24"/>
                <w:shd w:val="clear" w:color="auto" w:fill="FFFFFF"/>
              </w:rPr>
            </m:ctrlPr>
          </m:fPr>
          <m:num>
            <m:r>
              <w:rPr>
                <w:rFonts w:ascii="Cambria Math" w:hAnsi="Cambria Math" w:cs="Times New Roman"/>
                <w:sz w:val="24"/>
                <w:szCs w:val="24"/>
                <w:shd w:val="clear" w:color="auto" w:fill="FFFFFF"/>
              </w:rPr>
              <m:t>226.8+2399.6</m:t>
            </m:r>
          </m:num>
          <m:den>
            <m:r>
              <w:rPr>
                <w:rFonts w:ascii="Cambria Math" w:hAnsi="Cambria Math" w:cs="Times New Roman"/>
                <w:sz w:val="24"/>
                <w:szCs w:val="24"/>
                <w:shd w:val="clear" w:color="auto" w:fill="FFFFFF"/>
              </w:rPr>
              <m:t>-59.6+2399.6</m:t>
            </m:r>
          </m:den>
        </m:f>
      </m:oMath>
      <w:r w:rsidRPr="00F47D29">
        <w:rPr>
          <w:rFonts w:ascii="Times New Roman" w:eastAsiaTheme="minorEastAsia" w:hAnsi="Times New Roman" w:cs="Times New Roman"/>
          <w:sz w:val="24"/>
          <w:szCs w:val="24"/>
          <w:shd w:val="clear" w:color="auto" w:fill="FFFFFF"/>
        </w:rPr>
        <w:t>=1.12</w:t>
      </w:r>
    </w:p>
    <w:p w:rsidR="0076422B" w:rsidRPr="00F47D29" w:rsidRDefault="0076422B" w:rsidP="00F47D29">
      <w:pPr>
        <w:widowControl w:val="0"/>
        <w:autoSpaceDE w:val="0"/>
        <w:autoSpaceDN w:val="0"/>
        <w:adjustRightInd w:val="0"/>
        <w:spacing w:after="0" w:line="480" w:lineRule="auto"/>
        <w:jc w:val="center"/>
        <w:rPr>
          <w:rFonts w:ascii="Times New Roman" w:eastAsia="MinionPro-Regular" w:hAnsi="Times New Roman" w:cs="Times New Roman"/>
          <w:b/>
          <w:sz w:val="24"/>
          <w:szCs w:val="24"/>
          <w:lang w:eastAsia="zh-CN"/>
        </w:rPr>
      </w:pPr>
      <w:r w:rsidRPr="00F47D29">
        <w:rPr>
          <w:rFonts w:ascii="Times New Roman" w:eastAsia="MinionPro-Regular" w:hAnsi="Times New Roman" w:cs="Times New Roman"/>
          <w:b/>
          <w:sz w:val="24"/>
          <w:szCs w:val="24"/>
          <w:lang w:eastAsia="zh-CN"/>
        </w:rPr>
        <w:t>f. Calculate the projected price/earnings ratio and market/book ratio. Do these ratios</w:t>
      </w:r>
    </w:p>
    <w:p w:rsidR="0076422B" w:rsidRPr="00F47D29" w:rsidRDefault="0076422B" w:rsidP="00F47D29">
      <w:pPr>
        <w:widowControl w:val="0"/>
        <w:autoSpaceDE w:val="0"/>
        <w:autoSpaceDN w:val="0"/>
        <w:adjustRightInd w:val="0"/>
        <w:spacing w:after="0" w:line="480" w:lineRule="auto"/>
        <w:jc w:val="center"/>
        <w:rPr>
          <w:rFonts w:ascii="Times New Roman" w:eastAsia="MinionPro-Regular" w:hAnsi="Times New Roman" w:cs="Times New Roman"/>
          <w:b/>
          <w:sz w:val="24"/>
          <w:szCs w:val="24"/>
          <w:lang w:eastAsia="zh-CN"/>
        </w:rPr>
      </w:pPr>
      <w:r w:rsidRPr="00F47D29">
        <w:rPr>
          <w:rFonts w:ascii="Times New Roman" w:eastAsia="MinionPro-Regular" w:hAnsi="Times New Roman" w:cs="Times New Roman"/>
          <w:b/>
          <w:sz w:val="24"/>
          <w:szCs w:val="24"/>
          <w:lang w:eastAsia="zh-CN"/>
        </w:rPr>
        <w:t>indicate that investors are expected to have a high or low opinion of the company?</w:t>
      </w:r>
    </w:p>
    <w:p w:rsidR="00810949" w:rsidRPr="00F47D29" w:rsidRDefault="0076422B" w:rsidP="00F47D29">
      <w:pPr>
        <w:widowControl w:val="0"/>
        <w:autoSpaceDE w:val="0"/>
        <w:autoSpaceDN w:val="0"/>
        <w:adjustRightInd w:val="0"/>
        <w:spacing w:after="0" w:line="480" w:lineRule="auto"/>
        <w:rPr>
          <w:rFonts w:ascii="Times New Roman" w:eastAsia="MinionPro-Regular" w:hAnsi="Times New Roman" w:cs="Times New Roman"/>
          <w:b/>
          <w:sz w:val="24"/>
          <w:szCs w:val="24"/>
          <w:lang w:eastAsia="zh-CN"/>
        </w:rPr>
      </w:pPr>
      <w:r w:rsidRPr="00F47D29">
        <w:rPr>
          <w:rFonts w:ascii="Times New Roman" w:eastAsia="MinionPro-Regular" w:hAnsi="Times New Roman" w:cs="Times New Roman"/>
          <w:b/>
          <w:sz w:val="24"/>
          <w:szCs w:val="24"/>
          <w:lang w:eastAsia="zh-CN"/>
        </w:rPr>
        <w:t>Price/earnings ratio</w:t>
      </w:r>
    </w:p>
    <w:p w:rsidR="003F57E4" w:rsidRPr="00F47D29" w:rsidRDefault="003F57E4" w:rsidP="00F47D29">
      <w:pPr>
        <w:widowControl w:val="0"/>
        <w:autoSpaceDE w:val="0"/>
        <w:autoSpaceDN w:val="0"/>
        <w:adjustRightInd w:val="0"/>
        <w:spacing w:after="0" w:line="480" w:lineRule="auto"/>
        <w:rPr>
          <w:rFonts w:ascii="Times New Roman" w:eastAsia="MinionPro-Regular" w:hAnsi="Times New Roman" w:cs="Times New Roman"/>
          <w:sz w:val="24"/>
          <w:szCs w:val="24"/>
          <w:lang w:eastAsia="zh-CN"/>
        </w:rPr>
      </w:pPr>
      <w:r w:rsidRPr="00F47D29">
        <w:rPr>
          <w:rFonts w:ascii="Times New Roman" w:eastAsia="MinionPro-Regular" w:hAnsi="Times New Roman" w:cs="Times New Roman"/>
          <w:sz w:val="24"/>
          <w:szCs w:val="24"/>
          <w:lang w:eastAsia="zh-CN"/>
        </w:rPr>
        <w:t>P/E ratio refers to a metric that measures the current share price of an organization relative to its EPS.</w:t>
      </w:r>
    </w:p>
    <w:p w:rsidR="003F57E4" w:rsidRPr="00F47D29" w:rsidRDefault="003F57E4" w:rsidP="00F47D29">
      <w:pPr>
        <w:widowControl w:val="0"/>
        <w:autoSpaceDE w:val="0"/>
        <w:autoSpaceDN w:val="0"/>
        <w:adjustRightInd w:val="0"/>
        <w:spacing w:after="0" w:line="480" w:lineRule="auto"/>
        <w:rPr>
          <w:rFonts w:ascii="Times New Roman" w:eastAsia="MinionPro-Regular" w:hAnsi="Times New Roman" w:cs="Times New Roman"/>
          <w:sz w:val="24"/>
          <w:szCs w:val="24"/>
          <w:lang w:eastAsia="zh-CN"/>
        </w:rPr>
      </w:pPr>
      <w:r w:rsidRPr="00F47D29">
        <w:rPr>
          <w:rFonts w:ascii="Times New Roman" w:eastAsia="MinionPro-Regular" w:hAnsi="Times New Roman" w:cs="Times New Roman"/>
          <w:sz w:val="24"/>
          <w:szCs w:val="24"/>
          <w:lang w:eastAsia="zh-CN"/>
        </w:rPr>
        <w:t>P/E ratio=</w:t>
      </w:r>
      <m:oMath>
        <m:f>
          <m:fPr>
            <m:ctrlPr>
              <w:rPr>
                <w:rFonts w:ascii="Cambria Math" w:eastAsia="MinionPro-Regular" w:hAnsi="Cambria Math" w:cs="Times New Roman"/>
                <w:i/>
                <w:sz w:val="24"/>
                <w:szCs w:val="24"/>
                <w:lang w:eastAsia="zh-CN"/>
              </w:rPr>
            </m:ctrlPr>
          </m:fPr>
          <m:num>
            <m:r>
              <w:rPr>
                <w:rFonts w:ascii="Cambria Math" w:eastAsia="MinionPro-Regular" w:hAnsi="Cambria Math" w:cs="Times New Roman"/>
                <w:sz w:val="24"/>
                <w:szCs w:val="24"/>
                <w:lang w:eastAsia="zh-CN"/>
              </w:rPr>
              <m:t xml:space="preserve">Market Value Per Share </m:t>
            </m:r>
          </m:num>
          <m:den>
            <m:r>
              <w:rPr>
                <w:rFonts w:ascii="Cambria Math" w:eastAsia="MinionPro-Regular" w:hAnsi="Cambria Math" w:cs="Times New Roman"/>
                <w:sz w:val="24"/>
                <w:szCs w:val="24"/>
                <w:lang w:eastAsia="zh-CN"/>
              </w:rPr>
              <m:t>EPS</m:t>
            </m:r>
          </m:den>
        </m:f>
      </m:oMath>
    </w:p>
    <w:p w:rsidR="00D24251" w:rsidRPr="00F47D29" w:rsidRDefault="00D24251" w:rsidP="00F47D29">
      <w:pPr>
        <w:widowControl w:val="0"/>
        <w:autoSpaceDE w:val="0"/>
        <w:autoSpaceDN w:val="0"/>
        <w:adjustRightInd w:val="0"/>
        <w:spacing w:after="0" w:line="480" w:lineRule="auto"/>
        <w:rPr>
          <w:rFonts w:ascii="Times New Roman" w:eastAsia="MinionPro-Regular" w:hAnsi="Times New Roman" w:cs="Times New Roman"/>
          <w:sz w:val="24"/>
          <w:szCs w:val="24"/>
          <w:lang w:eastAsia="zh-CN"/>
        </w:rPr>
      </w:pPr>
      <w:r w:rsidRPr="00F47D29">
        <w:rPr>
          <w:rFonts w:ascii="Times New Roman" w:eastAsia="MinionPro-Regular" w:hAnsi="Times New Roman" w:cs="Times New Roman"/>
          <w:sz w:val="24"/>
          <w:szCs w:val="24"/>
          <w:lang w:eastAsia="zh-CN"/>
        </w:rPr>
        <w:t>Brinker International’s P/E ratio for the financial year ended 2020 June is determined as:</w:t>
      </w:r>
    </w:p>
    <w:p w:rsidR="00D24251" w:rsidRPr="00F47D29" w:rsidRDefault="00D24251" w:rsidP="00F47D29">
      <w:pPr>
        <w:widowControl w:val="0"/>
        <w:autoSpaceDE w:val="0"/>
        <w:autoSpaceDN w:val="0"/>
        <w:adjustRightInd w:val="0"/>
        <w:spacing w:after="0" w:line="480" w:lineRule="auto"/>
        <w:rPr>
          <w:rFonts w:ascii="Times New Roman" w:eastAsia="MinionPro-Regular" w:hAnsi="Times New Roman" w:cs="Times New Roman"/>
          <w:sz w:val="24"/>
          <w:szCs w:val="24"/>
          <w:lang w:eastAsia="zh-CN"/>
        </w:rPr>
      </w:pPr>
      <w:r w:rsidRPr="00F47D29">
        <w:rPr>
          <w:rFonts w:ascii="Times New Roman" w:eastAsia="MinionPro-Regular" w:hAnsi="Times New Roman" w:cs="Times New Roman"/>
          <w:sz w:val="24"/>
          <w:szCs w:val="24"/>
          <w:lang w:eastAsia="zh-CN"/>
        </w:rPr>
        <w:t>P/E ratio=</w:t>
      </w:r>
      <m:oMath>
        <m:f>
          <m:fPr>
            <m:ctrlPr>
              <w:rPr>
                <w:rFonts w:ascii="Cambria Math" w:eastAsia="MinionPro-Regular" w:hAnsi="Cambria Math" w:cs="Times New Roman"/>
                <w:i/>
                <w:sz w:val="24"/>
                <w:szCs w:val="24"/>
                <w:lang w:eastAsia="zh-CN"/>
              </w:rPr>
            </m:ctrlPr>
          </m:fPr>
          <m:num>
            <m:r>
              <w:rPr>
                <w:rFonts w:ascii="Cambria Math" w:eastAsia="MinionPro-Regular" w:hAnsi="Cambria Math" w:cs="Times New Roman"/>
                <w:sz w:val="24"/>
                <w:szCs w:val="24"/>
                <w:lang w:eastAsia="zh-CN"/>
              </w:rPr>
              <m:t>share price</m:t>
            </m:r>
          </m:num>
          <m:den>
            <m:r>
              <w:rPr>
                <w:rFonts w:ascii="Cambria Math" w:eastAsia="MinionPro-Regular" w:hAnsi="Cambria Math" w:cs="Times New Roman"/>
                <w:sz w:val="24"/>
                <w:szCs w:val="24"/>
                <w:lang w:eastAsia="zh-CN"/>
              </w:rPr>
              <m:t>Earning per share (diluted)(TTM)</m:t>
            </m:r>
          </m:den>
        </m:f>
      </m:oMath>
      <w:r w:rsidRPr="00F47D29">
        <w:rPr>
          <w:rFonts w:ascii="Times New Roman" w:eastAsia="MinionPro-Regular" w:hAnsi="Times New Roman" w:cs="Times New Roman"/>
          <w:sz w:val="24"/>
          <w:szCs w:val="24"/>
          <w:lang w:eastAsia="zh-CN"/>
        </w:rPr>
        <w:t>=</w:t>
      </w:r>
      <m:oMath>
        <m:f>
          <m:fPr>
            <m:ctrlPr>
              <w:rPr>
                <w:rFonts w:ascii="Cambria Math" w:eastAsia="MinionPro-Regular" w:hAnsi="Cambria Math" w:cs="Times New Roman"/>
                <w:i/>
                <w:sz w:val="24"/>
                <w:szCs w:val="24"/>
                <w:lang w:eastAsia="zh-CN"/>
              </w:rPr>
            </m:ctrlPr>
          </m:fPr>
          <m:num>
            <m:r>
              <w:rPr>
                <w:rFonts w:ascii="Cambria Math" w:eastAsia="MinionPro-Regular" w:hAnsi="Cambria Math" w:cs="Times New Roman"/>
                <w:sz w:val="24"/>
                <w:szCs w:val="24"/>
                <w:lang w:eastAsia="zh-CN"/>
              </w:rPr>
              <m:t>44.75</m:t>
            </m:r>
          </m:num>
          <m:den>
            <m:r>
              <w:rPr>
                <w:rFonts w:ascii="Cambria Math" w:eastAsia="MinionPro-Regular" w:hAnsi="Cambria Math" w:cs="Times New Roman"/>
                <w:sz w:val="24"/>
                <w:szCs w:val="24"/>
                <w:lang w:eastAsia="zh-CN"/>
              </w:rPr>
              <m:t>0.73</m:t>
            </m:r>
          </m:den>
        </m:f>
      </m:oMath>
      <w:r w:rsidRPr="00F47D29">
        <w:rPr>
          <w:rFonts w:ascii="Times New Roman" w:eastAsia="MinionPro-Regular" w:hAnsi="Times New Roman" w:cs="Times New Roman"/>
          <w:sz w:val="24"/>
          <w:szCs w:val="24"/>
          <w:lang w:eastAsia="zh-CN"/>
        </w:rPr>
        <w:t>=61.30</w:t>
      </w:r>
    </w:p>
    <w:p w:rsidR="00151825" w:rsidRPr="00F47D29" w:rsidRDefault="00151825" w:rsidP="00F47D29">
      <w:pPr>
        <w:widowControl w:val="0"/>
        <w:autoSpaceDE w:val="0"/>
        <w:autoSpaceDN w:val="0"/>
        <w:adjustRightInd w:val="0"/>
        <w:spacing w:after="0" w:line="480" w:lineRule="auto"/>
        <w:rPr>
          <w:rFonts w:ascii="Times New Roman" w:eastAsia="MinionPro-Regular" w:hAnsi="Times New Roman" w:cs="Times New Roman"/>
          <w:sz w:val="24"/>
          <w:szCs w:val="24"/>
          <w:lang w:eastAsia="zh-CN"/>
        </w:rPr>
      </w:pPr>
      <w:r w:rsidRPr="00F47D29">
        <w:rPr>
          <w:rFonts w:ascii="Times New Roman" w:eastAsia="MinionPro-Regular" w:hAnsi="Times New Roman" w:cs="Times New Roman"/>
          <w:sz w:val="24"/>
          <w:szCs w:val="24"/>
          <w:lang w:eastAsia="zh-CN"/>
        </w:rPr>
        <w:t xml:space="preserve">P/E ratio of 61.30 indicates that Brinker International takes 61.30 years to earned back $44.75 paid for its stock, taking an assumption that the company’s earnings remains the say over 61.30 years. </w:t>
      </w:r>
      <w:r w:rsidR="00601F51" w:rsidRPr="00F47D29">
        <w:rPr>
          <w:rFonts w:ascii="Times New Roman" w:eastAsia="MinionPro-Regular" w:hAnsi="Times New Roman" w:cs="Times New Roman"/>
          <w:sz w:val="24"/>
          <w:szCs w:val="24"/>
          <w:lang w:eastAsia="zh-CN"/>
        </w:rPr>
        <w:t>Hence, the investors are expected to have low opinion for Brinker International Inc.</w:t>
      </w:r>
    </w:p>
    <w:p w:rsidR="00810949" w:rsidRPr="00F47D29" w:rsidRDefault="00601F51" w:rsidP="00F47D29">
      <w:pPr>
        <w:spacing w:after="0" w:line="480" w:lineRule="auto"/>
        <w:ind w:left="720" w:hanging="720"/>
        <w:rPr>
          <w:rFonts w:ascii="Times New Roman" w:eastAsia="MinionPro-Regular" w:hAnsi="Times New Roman" w:cs="Times New Roman"/>
          <w:b/>
          <w:sz w:val="24"/>
          <w:szCs w:val="24"/>
          <w:lang w:eastAsia="zh-CN"/>
        </w:rPr>
      </w:pPr>
      <w:r w:rsidRPr="00F47D29">
        <w:rPr>
          <w:rFonts w:ascii="Times New Roman" w:eastAsia="MinionPro-Regular" w:hAnsi="Times New Roman" w:cs="Times New Roman"/>
          <w:b/>
          <w:sz w:val="24"/>
          <w:szCs w:val="24"/>
          <w:lang w:eastAsia="zh-CN"/>
        </w:rPr>
        <w:t xml:space="preserve">Market/book </w:t>
      </w:r>
      <w:r w:rsidR="000A454F" w:rsidRPr="00F47D29">
        <w:rPr>
          <w:rFonts w:ascii="Times New Roman" w:eastAsia="MinionPro-Regular" w:hAnsi="Times New Roman" w:cs="Times New Roman"/>
          <w:b/>
          <w:sz w:val="24"/>
          <w:szCs w:val="24"/>
          <w:lang w:eastAsia="zh-CN"/>
        </w:rPr>
        <w:t>ratio (P/B ratio)</w:t>
      </w:r>
    </w:p>
    <w:p w:rsidR="000A454F" w:rsidRPr="00F47D29" w:rsidRDefault="000A454F" w:rsidP="00F47D29">
      <w:pPr>
        <w:spacing w:after="0" w:line="480" w:lineRule="auto"/>
        <w:ind w:firstLine="720"/>
        <w:rPr>
          <w:rFonts w:ascii="Times New Roman" w:eastAsia="MinionPro-Regular" w:hAnsi="Times New Roman" w:cs="Times New Roman"/>
          <w:sz w:val="24"/>
          <w:szCs w:val="24"/>
          <w:lang w:eastAsia="zh-CN"/>
        </w:rPr>
      </w:pPr>
      <w:r w:rsidRPr="00F47D29">
        <w:rPr>
          <w:rFonts w:ascii="Times New Roman" w:eastAsia="MinionPro-Regular" w:hAnsi="Times New Roman" w:cs="Times New Roman"/>
          <w:sz w:val="24"/>
          <w:szCs w:val="24"/>
          <w:lang w:eastAsia="zh-CN"/>
        </w:rPr>
        <w:lastRenderedPageBreak/>
        <w:t>P/B ratio is a financial metric that measures the market value of a company relative to its book value.</w:t>
      </w:r>
    </w:p>
    <w:p w:rsidR="000A454F" w:rsidRPr="00F47D29" w:rsidRDefault="000A454F" w:rsidP="00F47D29">
      <w:pPr>
        <w:spacing w:after="0" w:line="480" w:lineRule="auto"/>
        <w:ind w:firstLine="720"/>
        <w:rPr>
          <w:rFonts w:ascii="Times New Roman" w:eastAsia="MinionPro-Regular" w:hAnsi="Times New Roman" w:cs="Times New Roman"/>
          <w:sz w:val="24"/>
          <w:szCs w:val="24"/>
          <w:lang w:eastAsia="zh-CN"/>
        </w:rPr>
      </w:pPr>
      <w:r w:rsidRPr="00F47D29">
        <w:rPr>
          <w:rFonts w:ascii="Times New Roman" w:eastAsia="MinionPro-Regular" w:hAnsi="Times New Roman" w:cs="Times New Roman"/>
          <w:sz w:val="24"/>
          <w:szCs w:val="24"/>
          <w:lang w:eastAsia="zh-CN"/>
        </w:rPr>
        <w:t>P/B ratio=</w:t>
      </w:r>
      <m:oMath>
        <m:f>
          <m:fPr>
            <m:ctrlPr>
              <w:rPr>
                <w:rFonts w:ascii="Cambria Math" w:eastAsia="MinionPro-Regular" w:hAnsi="Cambria Math" w:cs="Times New Roman"/>
                <w:i/>
                <w:sz w:val="24"/>
                <w:szCs w:val="24"/>
                <w:lang w:eastAsia="zh-CN"/>
              </w:rPr>
            </m:ctrlPr>
          </m:fPr>
          <m:num>
            <m:r>
              <w:rPr>
                <w:rFonts w:ascii="Cambria Math" w:eastAsia="MinionPro-Regular" w:hAnsi="Cambria Math" w:cs="Times New Roman"/>
                <w:sz w:val="24"/>
                <w:szCs w:val="24"/>
                <w:lang w:eastAsia="zh-CN"/>
              </w:rPr>
              <m:t>Share Price</m:t>
            </m:r>
          </m:num>
          <m:den>
            <m:r>
              <w:rPr>
                <w:rFonts w:ascii="Cambria Math" w:eastAsia="MinionPro-Regular" w:hAnsi="Cambria Math" w:cs="Times New Roman"/>
                <w:sz w:val="24"/>
                <w:szCs w:val="24"/>
                <w:lang w:eastAsia="zh-CN"/>
              </w:rPr>
              <m:t xml:space="preserve">Book value per share </m:t>
            </m:r>
          </m:den>
        </m:f>
      </m:oMath>
    </w:p>
    <w:p w:rsidR="000A454F" w:rsidRPr="00F47D29" w:rsidRDefault="000A454F" w:rsidP="00F47D29">
      <w:pPr>
        <w:spacing w:after="0" w:line="480" w:lineRule="auto"/>
        <w:ind w:firstLine="720"/>
        <w:rPr>
          <w:rFonts w:ascii="Times New Roman" w:eastAsia="MinionPro-Regular" w:hAnsi="Times New Roman" w:cs="Times New Roman"/>
          <w:sz w:val="24"/>
          <w:szCs w:val="24"/>
          <w:lang w:eastAsia="zh-CN"/>
        </w:rPr>
      </w:pPr>
      <w:r w:rsidRPr="00F47D29">
        <w:rPr>
          <w:rFonts w:ascii="Times New Roman" w:eastAsia="MinionPro-Regular" w:hAnsi="Times New Roman" w:cs="Times New Roman"/>
          <w:sz w:val="24"/>
          <w:szCs w:val="24"/>
          <w:lang w:eastAsia="zh-CN"/>
        </w:rPr>
        <w:t>Brinker International’s P/B ratio for the financial year ended 2020 June is determined as:</w:t>
      </w:r>
    </w:p>
    <w:p w:rsidR="000A454F" w:rsidRPr="00F47D29" w:rsidRDefault="000A454F" w:rsidP="00F47D29">
      <w:pPr>
        <w:spacing w:after="0" w:line="480" w:lineRule="auto"/>
        <w:ind w:firstLine="720"/>
        <w:rPr>
          <w:rFonts w:ascii="Times New Roman" w:eastAsia="MinionPro-Regular" w:hAnsi="Times New Roman" w:cs="Times New Roman"/>
          <w:sz w:val="24"/>
          <w:szCs w:val="24"/>
          <w:lang w:eastAsia="zh-CN"/>
        </w:rPr>
      </w:pPr>
      <w:r w:rsidRPr="00F47D29">
        <w:rPr>
          <w:rFonts w:ascii="Times New Roman" w:eastAsia="MinionPro-Regular" w:hAnsi="Times New Roman" w:cs="Times New Roman"/>
          <w:sz w:val="24"/>
          <w:szCs w:val="24"/>
          <w:lang w:eastAsia="zh-CN"/>
        </w:rPr>
        <w:t>P/B ratio =</w:t>
      </w:r>
      <m:oMath>
        <m:f>
          <m:fPr>
            <m:ctrlPr>
              <w:rPr>
                <w:rFonts w:ascii="Cambria Math" w:eastAsia="MinionPro-Regular" w:hAnsi="Cambria Math" w:cs="Times New Roman"/>
                <w:i/>
                <w:sz w:val="24"/>
                <w:szCs w:val="24"/>
                <w:lang w:eastAsia="zh-CN"/>
              </w:rPr>
            </m:ctrlPr>
          </m:fPr>
          <m:num>
            <m:r>
              <w:rPr>
                <w:rFonts w:ascii="Cambria Math" w:eastAsia="MinionPro-Regular" w:hAnsi="Cambria Math" w:cs="Times New Roman"/>
                <w:sz w:val="24"/>
                <w:szCs w:val="24"/>
                <w:lang w:eastAsia="zh-CN"/>
              </w:rPr>
              <m:t>44.75</m:t>
            </m:r>
          </m:num>
          <m:den>
            <m:r>
              <w:rPr>
                <w:rFonts w:ascii="Cambria Math" w:eastAsia="MinionPro-Regular" w:hAnsi="Cambria Math" w:cs="Times New Roman"/>
                <w:sz w:val="24"/>
                <w:szCs w:val="24"/>
                <w:lang w:eastAsia="zh-CN"/>
              </w:rPr>
              <m:t>-10.64</m:t>
            </m:r>
          </m:den>
        </m:f>
      </m:oMath>
      <w:r w:rsidRPr="00F47D29">
        <w:rPr>
          <w:rFonts w:ascii="Times New Roman" w:eastAsia="MinionPro-Regular" w:hAnsi="Times New Roman" w:cs="Times New Roman"/>
          <w:sz w:val="24"/>
          <w:szCs w:val="24"/>
          <w:lang w:eastAsia="zh-CN"/>
        </w:rPr>
        <w:t>=-4.20</w:t>
      </w:r>
    </w:p>
    <w:p w:rsidR="000A454F" w:rsidRPr="00F47D29" w:rsidRDefault="000A454F" w:rsidP="00F47D29">
      <w:pPr>
        <w:spacing w:after="0" w:line="480" w:lineRule="auto"/>
        <w:ind w:firstLine="720"/>
        <w:rPr>
          <w:rFonts w:ascii="Times New Roman" w:eastAsia="MinionPro-Regular" w:hAnsi="Times New Roman" w:cs="Times New Roman"/>
          <w:sz w:val="24"/>
          <w:szCs w:val="24"/>
          <w:lang w:eastAsia="zh-CN"/>
        </w:rPr>
      </w:pPr>
      <w:r w:rsidRPr="00F47D29">
        <w:rPr>
          <w:rFonts w:ascii="Times New Roman" w:eastAsia="MinionPro-Regular" w:hAnsi="Times New Roman" w:cs="Times New Roman"/>
          <w:sz w:val="24"/>
          <w:szCs w:val="24"/>
          <w:lang w:eastAsia="zh-CN"/>
        </w:rPr>
        <w:t>A P/B ratio of =4.20 indicates that Brinker International’s stock is undervalued. As a cons</w:t>
      </w:r>
      <w:r w:rsidR="00B8549F" w:rsidRPr="00F47D29">
        <w:rPr>
          <w:rFonts w:ascii="Times New Roman" w:eastAsia="MinionPro-Regular" w:hAnsi="Times New Roman" w:cs="Times New Roman"/>
          <w:sz w:val="24"/>
          <w:szCs w:val="24"/>
          <w:lang w:eastAsia="zh-CN"/>
        </w:rPr>
        <w:t>equent the investors’ opinion for the company is low.</w:t>
      </w:r>
    </w:p>
    <w:p w:rsidR="00C7275F" w:rsidRPr="00F47D29" w:rsidRDefault="00C7275F" w:rsidP="00F47D29">
      <w:pPr>
        <w:spacing w:after="0" w:line="480" w:lineRule="auto"/>
        <w:ind w:firstLine="720"/>
        <w:rPr>
          <w:rFonts w:ascii="Times New Roman" w:hAnsi="Times New Roman" w:cs="Times New Roman"/>
          <w:sz w:val="24"/>
          <w:szCs w:val="24"/>
          <w:shd w:val="clear" w:color="auto" w:fill="FFFFFF"/>
        </w:rPr>
      </w:pPr>
    </w:p>
    <w:p w:rsidR="00C7275F" w:rsidRPr="00F47D29" w:rsidRDefault="00C7275F" w:rsidP="00F47D29">
      <w:pPr>
        <w:widowControl w:val="0"/>
        <w:autoSpaceDE w:val="0"/>
        <w:autoSpaceDN w:val="0"/>
        <w:adjustRightInd w:val="0"/>
        <w:spacing w:after="0" w:line="480" w:lineRule="auto"/>
        <w:rPr>
          <w:rFonts w:ascii="Times New Roman" w:eastAsia="MinionPro-Regular" w:hAnsi="Times New Roman" w:cs="Times New Roman"/>
          <w:sz w:val="24"/>
          <w:szCs w:val="24"/>
          <w:lang w:eastAsia="zh-CN"/>
        </w:rPr>
      </w:pPr>
    </w:p>
    <w:p w:rsidR="00C7275F" w:rsidRPr="00F47D29" w:rsidRDefault="00C7275F" w:rsidP="00F47D29">
      <w:pPr>
        <w:widowControl w:val="0"/>
        <w:tabs>
          <w:tab w:val="left" w:pos="1005"/>
        </w:tabs>
        <w:autoSpaceDE w:val="0"/>
        <w:autoSpaceDN w:val="0"/>
        <w:adjustRightInd w:val="0"/>
        <w:spacing w:after="0" w:line="480" w:lineRule="auto"/>
        <w:rPr>
          <w:rFonts w:ascii="Times New Roman" w:eastAsia="MinionPro-Regular" w:hAnsi="Times New Roman" w:cs="Times New Roman"/>
          <w:sz w:val="24"/>
          <w:szCs w:val="24"/>
          <w:lang w:eastAsia="zh-CN"/>
        </w:rPr>
      </w:pPr>
    </w:p>
    <w:p w:rsidR="00C7275F" w:rsidRPr="00F47D29" w:rsidRDefault="00C7275F" w:rsidP="00F47D29">
      <w:pPr>
        <w:widowControl w:val="0"/>
        <w:tabs>
          <w:tab w:val="left" w:pos="1005"/>
        </w:tabs>
        <w:autoSpaceDE w:val="0"/>
        <w:autoSpaceDN w:val="0"/>
        <w:adjustRightInd w:val="0"/>
        <w:spacing w:after="0" w:line="480" w:lineRule="auto"/>
        <w:rPr>
          <w:rFonts w:ascii="Times New Roman" w:eastAsia="MinionPro-Regular" w:hAnsi="Times New Roman" w:cs="Times New Roman"/>
          <w:sz w:val="24"/>
          <w:szCs w:val="24"/>
          <w:lang w:eastAsia="zh-CN"/>
        </w:rPr>
      </w:pPr>
    </w:p>
    <w:p w:rsidR="00C7275F" w:rsidRPr="00F47D29" w:rsidRDefault="00C7275F" w:rsidP="00F47D29">
      <w:pPr>
        <w:widowControl w:val="0"/>
        <w:autoSpaceDE w:val="0"/>
        <w:autoSpaceDN w:val="0"/>
        <w:adjustRightInd w:val="0"/>
        <w:spacing w:after="0" w:line="480" w:lineRule="auto"/>
        <w:jc w:val="center"/>
        <w:rPr>
          <w:rFonts w:ascii="Times New Roman" w:eastAsia="MinionPro-Regular" w:hAnsi="Times New Roman" w:cs="Times New Roman"/>
          <w:b/>
          <w:sz w:val="24"/>
          <w:szCs w:val="24"/>
          <w:lang w:eastAsia="zh-CN"/>
        </w:rPr>
      </w:pPr>
      <w:r w:rsidRPr="00F47D29">
        <w:rPr>
          <w:rFonts w:ascii="Times New Roman" w:eastAsia="MinionPro-Regular" w:hAnsi="Times New Roman" w:cs="Times New Roman"/>
          <w:b/>
          <w:sz w:val="24"/>
          <w:szCs w:val="24"/>
          <w:lang w:eastAsia="zh-CN"/>
        </w:rPr>
        <w:t>g. Perform a common size analysis and percentage change analysis. What do these</w:t>
      </w:r>
    </w:p>
    <w:p w:rsidR="00C7275F" w:rsidRPr="00F47D29" w:rsidRDefault="00C7275F" w:rsidP="00F47D29">
      <w:pPr>
        <w:widowControl w:val="0"/>
        <w:autoSpaceDE w:val="0"/>
        <w:autoSpaceDN w:val="0"/>
        <w:adjustRightInd w:val="0"/>
        <w:spacing w:after="0" w:line="480" w:lineRule="auto"/>
        <w:jc w:val="center"/>
        <w:rPr>
          <w:rFonts w:ascii="Times New Roman" w:eastAsia="MinionPro-Regular" w:hAnsi="Times New Roman" w:cs="Times New Roman"/>
          <w:b/>
          <w:sz w:val="24"/>
          <w:szCs w:val="24"/>
          <w:lang w:eastAsia="zh-CN"/>
        </w:rPr>
      </w:pPr>
      <w:r w:rsidRPr="00F47D29">
        <w:rPr>
          <w:rFonts w:ascii="Times New Roman" w:eastAsia="MinionPro-Regular" w:hAnsi="Times New Roman" w:cs="Times New Roman"/>
          <w:b/>
          <w:sz w:val="24"/>
          <w:szCs w:val="24"/>
          <w:lang w:eastAsia="zh-CN"/>
        </w:rPr>
        <w:t>analyses tell you about Company?</w:t>
      </w:r>
    </w:p>
    <w:p w:rsidR="00810949" w:rsidRPr="00F47D29" w:rsidRDefault="00370C86" w:rsidP="00F47D29">
      <w:pPr>
        <w:spacing w:after="0" w:line="480" w:lineRule="auto"/>
        <w:ind w:left="720" w:hanging="720"/>
        <w:rPr>
          <w:rFonts w:ascii="Times New Roman" w:hAnsi="Times New Roman" w:cs="Times New Roman"/>
          <w:sz w:val="24"/>
          <w:szCs w:val="24"/>
          <w:shd w:val="clear" w:color="auto" w:fill="FFFFFF"/>
        </w:rPr>
      </w:pPr>
      <w:r w:rsidRPr="00F47D29">
        <w:rPr>
          <w:rFonts w:ascii="Times New Roman" w:hAnsi="Times New Roman" w:cs="Times New Roman"/>
          <w:sz w:val="24"/>
          <w:szCs w:val="24"/>
          <w:shd w:val="clear" w:color="auto" w:fill="FFFFFF"/>
        </w:rPr>
        <w:t>Common size analysis formula is as follows:</w:t>
      </w:r>
    </w:p>
    <w:p w:rsidR="00370C86" w:rsidRPr="00F47D29" w:rsidRDefault="00370C86" w:rsidP="00F47D29">
      <w:pPr>
        <w:spacing w:after="0" w:line="480" w:lineRule="auto"/>
        <w:ind w:left="720" w:hanging="720"/>
        <w:rPr>
          <w:rFonts w:ascii="Times New Roman" w:hAnsi="Times New Roman" w:cs="Times New Roman"/>
          <w:sz w:val="24"/>
          <w:szCs w:val="24"/>
          <w:shd w:val="clear" w:color="auto" w:fill="FFFFFF"/>
        </w:rPr>
      </w:pPr>
      <w:r w:rsidRPr="00F47D29">
        <w:rPr>
          <w:rFonts w:ascii="Times New Roman" w:hAnsi="Times New Roman" w:cs="Times New Roman"/>
          <w:sz w:val="24"/>
          <w:szCs w:val="24"/>
          <w:shd w:val="clear" w:color="auto" w:fill="FFFFFF"/>
        </w:rPr>
        <w:t>Percentage of Base =</w:t>
      </w:r>
      <m:oMath>
        <m:f>
          <m:fPr>
            <m:ctrlPr>
              <w:rPr>
                <w:rFonts w:ascii="Cambria Math" w:hAnsi="Cambria Math" w:cs="Times New Roman"/>
                <w:i/>
                <w:sz w:val="24"/>
                <w:szCs w:val="24"/>
                <w:shd w:val="clear" w:color="auto" w:fill="FFFFFF"/>
              </w:rPr>
            </m:ctrlPr>
          </m:fPr>
          <m:num>
            <m:r>
              <w:rPr>
                <w:rFonts w:ascii="Cambria Math" w:hAnsi="Cambria Math" w:cs="Times New Roman"/>
                <w:sz w:val="24"/>
                <w:szCs w:val="24"/>
                <w:shd w:val="clear" w:color="auto" w:fill="FFFFFF"/>
              </w:rPr>
              <m:t>Amount of the Individual Item</m:t>
            </m:r>
          </m:num>
          <m:den>
            <m:r>
              <w:rPr>
                <w:rFonts w:ascii="Cambria Math" w:hAnsi="Cambria Math" w:cs="Times New Roman"/>
                <w:sz w:val="24"/>
                <w:szCs w:val="24"/>
                <w:shd w:val="clear" w:color="auto" w:fill="FFFFFF"/>
              </w:rPr>
              <m:t>Amount of Base Item</m:t>
            </m:r>
          </m:den>
        </m:f>
        <m:r>
          <w:rPr>
            <w:rFonts w:ascii="Cambria Math" w:hAnsi="Cambria Math" w:cs="Times New Roman"/>
            <w:sz w:val="24"/>
            <w:szCs w:val="24"/>
            <w:shd w:val="clear" w:color="auto" w:fill="FFFFFF"/>
          </w:rPr>
          <m:t>×100%</m:t>
        </m:r>
      </m:oMath>
    </w:p>
    <w:p w:rsidR="00810949" w:rsidRPr="00F47D29" w:rsidRDefault="00347363" w:rsidP="00F47D29">
      <w:pPr>
        <w:spacing w:after="0" w:line="480" w:lineRule="auto"/>
        <w:ind w:left="720" w:hanging="720"/>
        <w:jc w:val="center"/>
        <w:rPr>
          <w:rFonts w:ascii="Times New Roman" w:hAnsi="Times New Roman" w:cs="Times New Roman"/>
          <w:sz w:val="24"/>
          <w:szCs w:val="24"/>
          <w:shd w:val="clear" w:color="auto" w:fill="FFFFFF"/>
        </w:rPr>
      </w:pPr>
      <w:r w:rsidRPr="00F47D29">
        <w:rPr>
          <w:rFonts w:ascii="Times New Roman" w:hAnsi="Times New Roman" w:cs="Times New Roman"/>
          <w:sz w:val="24"/>
          <w:szCs w:val="24"/>
          <w:shd w:val="clear" w:color="auto" w:fill="FFFFFF"/>
        </w:rPr>
        <w:t>Brinker International Inc.</w:t>
      </w:r>
    </w:p>
    <w:p w:rsidR="00347363" w:rsidRPr="00F47D29" w:rsidRDefault="00347363" w:rsidP="00F47D29">
      <w:pPr>
        <w:spacing w:after="0" w:line="480" w:lineRule="auto"/>
        <w:ind w:left="720" w:hanging="720"/>
        <w:jc w:val="center"/>
        <w:rPr>
          <w:rFonts w:ascii="Times New Roman" w:hAnsi="Times New Roman" w:cs="Times New Roman"/>
          <w:sz w:val="24"/>
          <w:szCs w:val="24"/>
          <w:shd w:val="clear" w:color="auto" w:fill="FFFFFF"/>
        </w:rPr>
      </w:pPr>
      <w:r w:rsidRPr="00F47D29">
        <w:rPr>
          <w:rFonts w:ascii="Times New Roman" w:hAnsi="Times New Roman" w:cs="Times New Roman"/>
          <w:sz w:val="24"/>
          <w:szCs w:val="24"/>
          <w:shd w:val="clear" w:color="auto" w:fill="FFFFFF"/>
        </w:rPr>
        <w:t>Balance Sheet</w:t>
      </w:r>
    </w:p>
    <w:p w:rsidR="00347363" w:rsidRPr="00F47D29" w:rsidRDefault="00347363" w:rsidP="00F47D29">
      <w:pPr>
        <w:spacing w:after="0" w:line="480" w:lineRule="auto"/>
        <w:ind w:left="720" w:hanging="720"/>
        <w:jc w:val="center"/>
        <w:rPr>
          <w:rFonts w:ascii="Times New Roman" w:hAnsi="Times New Roman" w:cs="Times New Roman"/>
          <w:sz w:val="24"/>
          <w:szCs w:val="24"/>
          <w:shd w:val="clear" w:color="auto" w:fill="FFFFFF"/>
        </w:rPr>
      </w:pPr>
      <w:r w:rsidRPr="00F47D29">
        <w:rPr>
          <w:rFonts w:ascii="Times New Roman" w:hAnsi="Times New Roman" w:cs="Times New Roman"/>
          <w:sz w:val="24"/>
          <w:szCs w:val="24"/>
          <w:shd w:val="clear" w:color="auto" w:fill="FFFFFF"/>
        </w:rPr>
        <w:t>Ass at 30/6/2020 and 26/6/2010</w:t>
      </w:r>
    </w:p>
    <w:tbl>
      <w:tblPr>
        <w:tblStyle w:val="TableGrid"/>
        <w:tblW w:w="0" w:type="auto"/>
        <w:tblInd w:w="720" w:type="dxa"/>
        <w:tblLook w:val="04A0" w:firstRow="1" w:lastRow="0" w:firstColumn="1" w:lastColumn="0" w:noHBand="0" w:noVBand="1"/>
      </w:tblPr>
      <w:tblGrid>
        <w:gridCol w:w="2362"/>
        <w:gridCol w:w="1530"/>
        <w:gridCol w:w="1349"/>
        <w:gridCol w:w="1521"/>
        <w:gridCol w:w="1530"/>
      </w:tblGrid>
      <w:tr w:rsidR="00347363" w:rsidRPr="00F47D29" w:rsidTr="00A41F26">
        <w:tc>
          <w:tcPr>
            <w:tcW w:w="2362" w:type="dxa"/>
          </w:tcPr>
          <w:p w:rsidR="00347363" w:rsidRPr="00F47D29" w:rsidRDefault="00347363" w:rsidP="00F47D29">
            <w:pPr>
              <w:spacing w:line="480" w:lineRule="auto"/>
              <w:rPr>
                <w:rFonts w:ascii="Times New Roman" w:hAnsi="Times New Roman" w:cs="Times New Roman"/>
                <w:b/>
                <w:sz w:val="24"/>
                <w:szCs w:val="24"/>
                <w:shd w:val="clear" w:color="auto" w:fill="FFFFFF"/>
              </w:rPr>
            </w:pPr>
            <w:r w:rsidRPr="00F47D29">
              <w:rPr>
                <w:rFonts w:ascii="Times New Roman" w:hAnsi="Times New Roman" w:cs="Times New Roman"/>
                <w:b/>
                <w:sz w:val="24"/>
                <w:szCs w:val="24"/>
                <w:shd w:val="clear" w:color="auto" w:fill="FFFFFF"/>
              </w:rPr>
              <w:t>Annual Data(Million US$)</w:t>
            </w:r>
          </w:p>
        </w:tc>
        <w:tc>
          <w:tcPr>
            <w:tcW w:w="1530" w:type="dxa"/>
          </w:tcPr>
          <w:p w:rsidR="00347363" w:rsidRPr="00F47D29" w:rsidRDefault="00347363" w:rsidP="00F47D29">
            <w:pPr>
              <w:spacing w:line="480" w:lineRule="auto"/>
              <w:rPr>
                <w:rFonts w:ascii="Times New Roman" w:hAnsi="Times New Roman" w:cs="Times New Roman"/>
                <w:b/>
                <w:sz w:val="24"/>
                <w:szCs w:val="24"/>
                <w:shd w:val="clear" w:color="auto" w:fill="FFFFFF"/>
              </w:rPr>
            </w:pPr>
            <w:r w:rsidRPr="00F47D29">
              <w:rPr>
                <w:rFonts w:ascii="Times New Roman" w:hAnsi="Times New Roman" w:cs="Times New Roman"/>
                <w:b/>
                <w:sz w:val="24"/>
                <w:szCs w:val="24"/>
                <w:shd w:val="clear" w:color="auto" w:fill="FFFFFF"/>
              </w:rPr>
              <w:t>2020-06-30</w:t>
            </w:r>
          </w:p>
        </w:tc>
        <w:tc>
          <w:tcPr>
            <w:tcW w:w="1349" w:type="dxa"/>
          </w:tcPr>
          <w:p w:rsidR="00347363" w:rsidRPr="00F47D29" w:rsidRDefault="00347363" w:rsidP="00F47D29">
            <w:pPr>
              <w:spacing w:line="480" w:lineRule="auto"/>
              <w:rPr>
                <w:rFonts w:ascii="Times New Roman" w:hAnsi="Times New Roman" w:cs="Times New Roman"/>
                <w:b/>
                <w:sz w:val="24"/>
                <w:szCs w:val="24"/>
                <w:shd w:val="clear" w:color="auto" w:fill="FFFFFF"/>
              </w:rPr>
            </w:pPr>
            <w:r w:rsidRPr="00F47D29">
              <w:rPr>
                <w:rFonts w:ascii="Times New Roman" w:hAnsi="Times New Roman" w:cs="Times New Roman"/>
                <w:b/>
                <w:sz w:val="24"/>
                <w:szCs w:val="24"/>
                <w:shd w:val="clear" w:color="auto" w:fill="FFFFFF"/>
              </w:rPr>
              <w:t>Percentage</w:t>
            </w:r>
          </w:p>
        </w:tc>
        <w:tc>
          <w:tcPr>
            <w:tcW w:w="1521" w:type="dxa"/>
          </w:tcPr>
          <w:p w:rsidR="00347363" w:rsidRPr="00F47D29" w:rsidRDefault="00347363" w:rsidP="00F47D29">
            <w:pPr>
              <w:spacing w:line="480" w:lineRule="auto"/>
              <w:rPr>
                <w:rFonts w:ascii="Times New Roman" w:hAnsi="Times New Roman" w:cs="Times New Roman"/>
                <w:b/>
                <w:sz w:val="24"/>
                <w:szCs w:val="24"/>
                <w:shd w:val="clear" w:color="auto" w:fill="FFFFFF"/>
              </w:rPr>
            </w:pPr>
            <w:r w:rsidRPr="00F47D29">
              <w:rPr>
                <w:rFonts w:ascii="Times New Roman" w:hAnsi="Times New Roman" w:cs="Times New Roman"/>
                <w:b/>
                <w:sz w:val="24"/>
                <w:szCs w:val="24"/>
                <w:shd w:val="clear" w:color="auto" w:fill="FFFFFF"/>
              </w:rPr>
              <w:t>2019-06-30</w:t>
            </w:r>
          </w:p>
        </w:tc>
        <w:tc>
          <w:tcPr>
            <w:tcW w:w="1530" w:type="dxa"/>
          </w:tcPr>
          <w:p w:rsidR="00347363" w:rsidRPr="00F47D29" w:rsidRDefault="00347363" w:rsidP="00F47D29">
            <w:pPr>
              <w:spacing w:line="480" w:lineRule="auto"/>
              <w:rPr>
                <w:rFonts w:ascii="Times New Roman" w:hAnsi="Times New Roman" w:cs="Times New Roman"/>
                <w:b/>
                <w:sz w:val="24"/>
                <w:szCs w:val="24"/>
                <w:shd w:val="clear" w:color="auto" w:fill="FFFFFF"/>
              </w:rPr>
            </w:pPr>
            <w:r w:rsidRPr="00F47D29">
              <w:rPr>
                <w:rFonts w:ascii="Times New Roman" w:hAnsi="Times New Roman" w:cs="Times New Roman"/>
                <w:b/>
                <w:sz w:val="24"/>
                <w:szCs w:val="24"/>
                <w:shd w:val="clear" w:color="auto" w:fill="FFFFFF"/>
              </w:rPr>
              <w:t xml:space="preserve">Percentage </w:t>
            </w:r>
          </w:p>
        </w:tc>
      </w:tr>
      <w:tr w:rsidR="00347363" w:rsidRPr="00F47D29" w:rsidTr="00A41F26">
        <w:tc>
          <w:tcPr>
            <w:tcW w:w="2362" w:type="dxa"/>
          </w:tcPr>
          <w:p w:rsidR="00347363" w:rsidRPr="00F47D29" w:rsidRDefault="00347363" w:rsidP="00F47D29">
            <w:pPr>
              <w:spacing w:line="480" w:lineRule="auto"/>
              <w:rPr>
                <w:rFonts w:ascii="Times New Roman" w:hAnsi="Times New Roman" w:cs="Times New Roman"/>
                <w:sz w:val="24"/>
                <w:szCs w:val="24"/>
                <w:shd w:val="clear" w:color="auto" w:fill="FFFFFF"/>
              </w:rPr>
            </w:pPr>
            <w:r w:rsidRPr="00F47D29">
              <w:rPr>
                <w:rFonts w:ascii="Times New Roman" w:hAnsi="Times New Roman" w:cs="Times New Roman"/>
                <w:sz w:val="24"/>
                <w:szCs w:val="24"/>
                <w:shd w:val="clear" w:color="auto" w:fill="FFFFFF"/>
              </w:rPr>
              <w:t xml:space="preserve">Cash </w:t>
            </w:r>
          </w:p>
        </w:tc>
        <w:tc>
          <w:tcPr>
            <w:tcW w:w="1530" w:type="dxa"/>
          </w:tcPr>
          <w:p w:rsidR="00347363" w:rsidRPr="00F47D29" w:rsidRDefault="00347363" w:rsidP="00F47D29">
            <w:pPr>
              <w:spacing w:line="480" w:lineRule="auto"/>
              <w:rPr>
                <w:rFonts w:ascii="Times New Roman" w:hAnsi="Times New Roman" w:cs="Times New Roman"/>
                <w:sz w:val="24"/>
                <w:szCs w:val="24"/>
                <w:shd w:val="clear" w:color="auto" w:fill="FFFFFF"/>
              </w:rPr>
            </w:pPr>
            <w:r w:rsidRPr="00F47D29">
              <w:rPr>
                <w:rFonts w:ascii="Times New Roman" w:hAnsi="Times New Roman" w:cs="Times New Roman"/>
                <w:sz w:val="24"/>
                <w:szCs w:val="24"/>
                <w:shd w:val="clear" w:color="auto" w:fill="FFFFFF"/>
              </w:rPr>
              <w:t>$43.9</w:t>
            </w:r>
          </w:p>
        </w:tc>
        <w:tc>
          <w:tcPr>
            <w:tcW w:w="1349" w:type="dxa"/>
          </w:tcPr>
          <w:p w:rsidR="00347363" w:rsidRPr="00F47D29" w:rsidRDefault="00394D1B" w:rsidP="00F47D29">
            <w:pPr>
              <w:spacing w:line="480" w:lineRule="auto"/>
              <w:rPr>
                <w:rFonts w:ascii="Times New Roman" w:hAnsi="Times New Roman" w:cs="Times New Roman"/>
                <w:sz w:val="24"/>
                <w:szCs w:val="24"/>
                <w:shd w:val="clear" w:color="auto" w:fill="FFFFFF"/>
              </w:rPr>
            </w:pPr>
            <w:r w:rsidRPr="00F47D29">
              <w:rPr>
                <w:rFonts w:ascii="Times New Roman" w:hAnsi="Times New Roman" w:cs="Times New Roman"/>
                <w:sz w:val="24"/>
                <w:szCs w:val="24"/>
                <w:shd w:val="clear" w:color="auto" w:fill="FFFFFF"/>
              </w:rPr>
              <w:t>1.9%</w:t>
            </w:r>
          </w:p>
        </w:tc>
        <w:tc>
          <w:tcPr>
            <w:tcW w:w="1521" w:type="dxa"/>
          </w:tcPr>
          <w:p w:rsidR="00347363" w:rsidRPr="00F47D29" w:rsidRDefault="00CB72C2" w:rsidP="00F47D29">
            <w:pPr>
              <w:spacing w:line="480" w:lineRule="auto"/>
              <w:rPr>
                <w:rFonts w:ascii="Times New Roman" w:hAnsi="Times New Roman" w:cs="Times New Roman"/>
                <w:sz w:val="24"/>
                <w:szCs w:val="24"/>
                <w:shd w:val="clear" w:color="auto" w:fill="FFFFFF"/>
              </w:rPr>
            </w:pPr>
            <w:r w:rsidRPr="00F47D29">
              <w:rPr>
                <w:rFonts w:ascii="Times New Roman" w:hAnsi="Times New Roman" w:cs="Times New Roman"/>
                <w:sz w:val="24"/>
                <w:szCs w:val="24"/>
                <w:shd w:val="clear" w:color="auto" w:fill="FFFFFF"/>
              </w:rPr>
              <w:t>$13.4</w:t>
            </w:r>
          </w:p>
        </w:tc>
        <w:tc>
          <w:tcPr>
            <w:tcW w:w="1530" w:type="dxa"/>
          </w:tcPr>
          <w:p w:rsidR="00347363" w:rsidRPr="00F47D29" w:rsidRDefault="00394D1B" w:rsidP="00F47D29">
            <w:pPr>
              <w:spacing w:line="480" w:lineRule="auto"/>
              <w:rPr>
                <w:rFonts w:ascii="Times New Roman" w:hAnsi="Times New Roman" w:cs="Times New Roman"/>
                <w:sz w:val="24"/>
                <w:szCs w:val="24"/>
                <w:shd w:val="clear" w:color="auto" w:fill="FFFFFF"/>
              </w:rPr>
            </w:pPr>
            <w:r w:rsidRPr="00F47D29">
              <w:rPr>
                <w:rFonts w:ascii="Times New Roman" w:hAnsi="Times New Roman" w:cs="Times New Roman"/>
                <w:sz w:val="24"/>
                <w:szCs w:val="24"/>
                <w:shd w:val="clear" w:color="auto" w:fill="FFFFFF"/>
              </w:rPr>
              <w:t>1.1%</w:t>
            </w:r>
          </w:p>
        </w:tc>
      </w:tr>
      <w:tr w:rsidR="00347363" w:rsidRPr="00F47D29" w:rsidTr="00A41F26">
        <w:tc>
          <w:tcPr>
            <w:tcW w:w="2362" w:type="dxa"/>
          </w:tcPr>
          <w:p w:rsidR="00347363" w:rsidRPr="00F47D29" w:rsidRDefault="00CB72C2" w:rsidP="00F47D29">
            <w:pPr>
              <w:spacing w:line="480" w:lineRule="auto"/>
              <w:rPr>
                <w:rFonts w:ascii="Times New Roman" w:hAnsi="Times New Roman" w:cs="Times New Roman"/>
                <w:sz w:val="24"/>
                <w:szCs w:val="24"/>
                <w:shd w:val="clear" w:color="auto" w:fill="FFFFFF"/>
              </w:rPr>
            </w:pPr>
            <w:r w:rsidRPr="00F47D29">
              <w:rPr>
                <w:rFonts w:ascii="Times New Roman" w:hAnsi="Times New Roman" w:cs="Times New Roman"/>
                <w:sz w:val="24"/>
                <w:szCs w:val="24"/>
                <w:shd w:val="clear" w:color="auto" w:fill="FFFFFF"/>
              </w:rPr>
              <w:t>Receivables</w:t>
            </w:r>
          </w:p>
        </w:tc>
        <w:tc>
          <w:tcPr>
            <w:tcW w:w="1530" w:type="dxa"/>
          </w:tcPr>
          <w:p w:rsidR="00347363" w:rsidRPr="00F47D29" w:rsidRDefault="00CB72C2" w:rsidP="00F47D29">
            <w:pPr>
              <w:spacing w:line="480" w:lineRule="auto"/>
              <w:rPr>
                <w:rFonts w:ascii="Times New Roman" w:hAnsi="Times New Roman" w:cs="Times New Roman"/>
                <w:sz w:val="24"/>
                <w:szCs w:val="24"/>
                <w:shd w:val="clear" w:color="auto" w:fill="FFFFFF"/>
              </w:rPr>
            </w:pPr>
            <w:r w:rsidRPr="00F47D29">
              <w:rPr>
                <w:rFonts w:ascii="Times New Roman" w:hAnsi="Times New Roman" w:cs="Times New Roman"/>
                <w:sz w:val="24"/>
                <w:szCs w:val="24"/>
                <w:shd w:val="clear" w:color="auto" w:fill="FFFFFF"/>
              </w:rPr>
              <w:t>$87.7</w:t>
            </w:r>
          </w:p>
        </w:tc>
        <w:tc>
          <w:tcPr>
            <w:tcW w:w="1349" w:type="dxa"/>
          </w:tcPr>
          <w:p w:rsidR="00347363" w:rsidRPr="00F47D29" w:rsidRDefault="00394D1B" w:rsidP="00F47D29">
            <w:pPr>
              <w:spacing w:line="480" w:lineRule="auto"/>
              <w:rPr>
                <w:rFonts w:ascii="Times New Roman" w:hAnsi="Times New Roman" w:cs="Times New Roman"/>
                <w:sz w:val="24"/>
                <w:szCs w:val="24"/>
                <w:shd w:val="clear" w:color="auto" w:fill="FFFFFF"/>
              </w:rPr>
            </w:pPr>
            <w:r w:rsidRPr="00F47D29">
              <w:rPr>
                <w:rFonts w:ascii="Times New Roman" w:hAnsi="Times New Roman" w:cs="Times New Roman"/>
                <w:sz w:val="24"/>
                <w:szCs w:val="24"/>
                <w:shd w:val="clear" w:color="auto" w:fill="FFFFFF"/>
              </w:rPr>
              <w:t>3.7%</w:t>
            </w:r>
          </w:p>
        </w:tc>
        <w:tc>
          <w:tcPr>
            <w:tcW w:w="1521" w:type="dxa"/>
          </w:tcPr>
          <w:p w:rsidR="00347363" w:rsidRPr="00F47D29" w:rsidRDefault="00CB72C2" w:rsidP="00F47D29">
            <w:pPr>
              <w:spacing w:line="480" w:lineRule="auto"/>
              <w:rPr>
                <w:rFonts w:ascii="Times New Roman" w:hAnsi="Times New Roman" w:cs="Times New Roman"/>
                <w:sz w:val="24"/>
                <w:szCs w:val="24"/>
                <w:shd w:val="clear" w:color="auto" w:fill="FFFFFF"/>
              </w:rPr>
            </w:pPr>
            <w:r w:rsidRPr="00F47D29">
              <w:rPr>
                <w:rFonts w:ascii="Times New Roman" w:hAnsi="Times New Roman" w:cs="Times New Roman"/>
                <w:sz w:val="24"/>
                <w:szCs w:val="24"/>
                <w:shd w:val="clear" w:color="auto" w:fill="FFFFFF"/>
              </w:rPr>
              <w:t>$69.6</w:t>
            </w:r>
          </w:p>
        </w:tc>
        <w:tc>
          <w:tcPr>
            <w:tcW w:w="1530" w:type="dxa"/>
          </w:tcPr>
          <w:p w:rsidR="00347363" w:rsidRPr="00F47D29" w:rsidRDefault="00394D1B" w:rsidP="00F47D29">
            <w:pPr>
              <w:spacing w:line="480" w:lineRule="auto"/>
              <w:rPr>
                <w:rFonts w:ascii="Times New Roman" w:hAnsi="Times New Roman" w:cs="Times New Roman"/>
                <w:sz w:val="24"/>
                <w:szCs w:val="24"/>
                <w:shd w:val="clear" w:color="auto" w:fill="FFFFFF"/>
              </w:rPr>
            </w:pPr>
            <w:r w:rsidRPr="00F47D29">
              <w:rPr>
                <w:rFonts w:ascii="Times New Roman" w:hAnsi="Times New Roman" w:cs="Times New Roman"/>
                <w:sz w:val="24"/>
                <w:szCs w:val="24"/>
                <w:shd w:val="clear" w:color="auto" w:fill="FFFFFF"/>
              </w:rPr>
              <w:t>2.95%</w:t>
            </w:r>
          </w:p>
        </w:tc>
      </w:tr>
      <w:tr w:rsidR="00347363" w:rsidRPr="00F47D29" w:rsidTr="00A41F26">
        <w:tc>
          <w:tcPr>
            <w:tcW w:w="2362" w:type="dxa"/>
          </w:tcPr>
          <w:p w:rsidR="00347363" w:rsidRPr="00F47D29" w:rsidRDefault="00CB72C2" w:rsidP="00F47D29">
            <w:pPr>
              <w:spacing w:line="480" w:lineRule="auto"/>
              <w:rPr>
                <w:rFonts w:ascii="Times New Roman" w:hAnsi="Times New Roman" w:cs="Times New Roman"/>
                <w:sz w:val="24"/>
                <w:szCs w:val="24"/>
                <w:shd w:val="clear" w:color="auto" w:fill="FFFFFF"/>
              </w:rPr>
            </w:pPr>
            <w:r w:rsidRPr="00F47D29">
              <w:rPr>
                <w:rFonts w:ascii="Times New Roman" w:hAnsi="Times New Roman" w:cs="Times New Roman"/>
                <w:sz w:val="24"/>
                <w:szCs w:val="24"/>
                <w:shd w:val="clear" w:color="auto" w:fill="FFFFFF"/>
              </w:rPr>
              <w:lastRenderedPageBreak/>
              <w:t>Inventory</w:t>
            </w:r>
          </w:p>
        </w:tc>
        <w:tc>
          <w:tcPr>
            <w:tcW w:w="1530" w:type="dxa"/>
          </w:tcPr>
          <w:p w:rsidR="00347363" w:rsidRPr="00F47D29" w:rsidRDefault="00CB72C2" w:rsidP="00F47D29">
            <w:pPr>
              <w:spacing w:line="480" w:lineRule="auto"/>
              <w:rPr>
                <w:rFonts w:ascii="Times New Roman" w:hAnsi="Times New Roman" w:cs="Times New Roman"/>
                <w:sz w:val="24"/>
                <w:szCs w:val="24"/>
                <w:shd w:val="clear" w:color="auto" w:fill="FFFFFF"/>
              </w:rPr>
            </w:pPr>
            <w:r w:rsidRPr="00F47D29">
              <w:rPr>
                <w:rFonts w:ascii="Times New Roman" w:hAnsi="Times New Roman" w:cs="Times New Roman"/>
                <w:sz w:val="24"/>
                <w:szCs w:val="24"/>
                <w:shd w:val="clear" w:color="auto" w:fill="FFFFFF"/>
              </w:rPr>
              <w:t>$27.3</w:t>
            </w:r>
          </w:p>
        </w:tc>
        <w:tc>
          <w:tcPr>
            <w:tcW w:w="1349" w:type="dxa"/>
          </w:tcPr>
          <w:p w:rsidR="00347363" w:rsidRPr="00F47D29" w:rsidRDefault="00394D1B" w:rsidP="00F47D29">
            <w:pPr>
              <w:spacing w:line="480" w:lineRule="auto"/>
              <w:rPr>
                <w:rFonts w:ascii="Times New Roman" w:hAnsi="Times New Roman" w:cs="Times New Roman"/>
                <w:sz w:val="24"/>
                <w:szCs w:val="24"/>
                <w:shd w:val="clear" w:color="auto" w:fill="FFFFFF"/>
              </w:rPr>
            </w:pPr>
            <w:r w:rsidRPr="00F47D29">
              <w:rPr>
                <w:rFonts w:ascii="Times New Roman" w:hAnsi="Times New Roman" w:cs="Times New Roman"/>
                <w:sz w:val="24"/>
                <w:szCs w:val="24"/>
                <w:shd w:val="clear" w:color="auto" w:fill="FFFFFF"/>
              </w:rPr>
              <w:t>1.2%</w:t>
            </w:r>
          </w:p>
        </w:tc>
        <w:tc>
          <w:tcPr>
            <w:tcW w:w="1521" w:type="dxa"/>
          </w:tcPr>
          <w:p w:rsidR="00347363" w:rsidRPr="00F47D29" w:rsidRDefault="00CB72C2" w:rsidP="00F47D29">
            <w:pPr>
              <w:spacing w:line="480" w:lineRule="auto"/>
              <w:rPr>
                <w:rFonts w:ascii="Times New Roman" w:hAnsi="Times New Roman" w:cs="Times New Roman"/>
                <w:sz w:val="24"/>
                <w:szCs w:val="24"/>
                <w:shd w:val="clear" w:color="auto" w:fill="FFFFFF"/>
              </w:rPr>
            </w:pPr>
            <w:r w:rsidRPr="00F47D29">
              <w:rPr>
                <w:rFonts w:ascii="Times New Roman" w:hAnsi="Times New Roman" w:cs="Times New Roman"/>
                <w:sz w:val="24"/>
                <w:szCs w:val="24"/>
                <w:shd w:val="clear" w:color="auto" w:fill="FFFFFF"/>
              </w:rPr>
              <w:t>$23.2</w:t>
            </w:r>
          </w:p>
        </w:tc>
        <w:tc>
          <w:tcPr>
            <w:tcW w:w="1530" w:type="dxa"/>
          </w:tcPr>
          <w:p w:rsidR="00347363" w:rsidRPr="00F47D29" w:rsidRDefault="00394D1B" w:rsidP="00F47D29">
            <w:pPr>
              <w:spacing w:line="480" w:lineRule="auto"/>
              <w:rPr>
                <w:rFonts w:ascii="Times New Roman" w:hAnsi="Times New Roman" w:cs="Times New Roman"/>
                <w:sz w:val="24"/>
                <w:szCs w:val="24"/>
                <w:shd w:val="clear" w:color="auto" w:fill="FFFFFF"/>
              </w:rPr>
            </w:pPr>
            <w:r w:rsidRPr="00F47D29">
              <w:rPr>
                <w:rFonts w:ascii="Times New Roman" w:hAnsi="Times New Roman" w:cs="Times New Roman"/>
                <w:sz w:val="24"/>
                <w:szCs w:val="24"/>
                <w:shd w:val="clear" w:color="auto" w:fill="FFFFFF"/>
              </w:rPr>
              <w:t>1.8%</w:t>
            </w:r>
          </w:p>
        </w:tc>
      </w:tr>
      <w:tr w:rsidR="00347363" w:rsidRPr="00F47D29" w:rsidTr="00A41F26">
        <w:tc>
          <w:tcPr>
            <w:tcW w:w="2362" w:type="dxa"/>
          </w:tcPr>
          <w:p w:rsidR="00347363" w:rsidRPr="00F47D29" w:rsidRDefault="00CB72C2" w:rsidP="00F47D29">
            <w:pPr>
              <w:spacing w:line="480" w:lineRule="auto"/>
              <w:rPr>
                <w:rFonts w:ascii="Times New Roman" w:hAnsi="Times New Roman" w:cs="Times New Roman"/>
                <w:sz w:val="24"/>
                <w:szCs w:val="24"/>
                <w:shd w:val="clear" w:color="auto" w:fill="FFFFFF"/>
              </w:rPr>
            </w:pPr>
            <w:r w:rsidRPr="00F47D29">
              <w:rPr>
                <w:rFonts w:ascii="Times New Roman" w:hAnsi="Times New Roman" w:cs="Times New Roman"/>
                <w:sz w:val="24"/>
                <w:szCs w:val="24"/>
                <w:shd w:val="clear" w:color="auto" w:fill="FFFFFF"/>
              </w:rPr>
              <w:t>Prepaid Expenses</w:t>
            </w:r>
          </w:p>
        </w:tc>
        <w:tc>
          <w:tcPr>
            <w:tcW w:w="1530" w:type="dxa"/>
          </w:tcPr>
          <w:p w:rsidR="00347363" w:rsidRPr="00F47D29" w:rsidRDefault="00CB72C2" w:rsidP="00F47D29">
            <w:pPr>
              <w:spacing w:line="480" w:lineRule="auto"/>
              <w:rPr>
                <w:rFonts w:ascii="Times New Roman" w:hAnsi="Times New Roman" w:cs="Times New Roman"/>
                <w:sz w:val="24"/>
                <w:szCs w:val="24"/>
                <w:shd w:val="clear" w:color="auto" w:fill="FFFFFF"/>
              </w:rPr>
            </w:pPr>
            <w:r w:rsidRPr="00F47D29">
              <w:rPr>
                <w:rFonts w:ascii="Times New Roman" w:hAnsi="Times New Roman" w:cs="Times New Roman"/>
                <w:sz w:val="24"/>
                <w:szCs w:val="24"/>
                <w:shd w:val="clear" w:color="auto" w:fill="FFFFFF"/>
              </w:rPr>
              <w:t>$13.9</w:t>
            </w:r>
          </w:p>
        </w:tc>
        <w:tc>
          <w:tcPr>
            <w:tcW w:w="1349" w:type="dxa"/>
          </w:tcPr>
          <w:p w:rsidR="00347363" w:rsidRPr="00F47D29" w:rsidRDefault="00394D1B" w:rsidP="00F47D29">
            <w:pPr>
              <w:spacing w:line="480" w:lineRule="auto"/>
              <w:rPr>
                <w:rFonts w:ascii="Times New Roman" w:hAnsi="Times New Roman" w:cs="Times New Roman"/>
                <w:sz w:val="24"/>
                <w:szCs w:val="24"/>
                <w:shd w:val="clear" w:color="auto" w:fill="FFFFFF"/>
              </w:rPr>
            </w:pPr>
            <w:r w:rsidRPr="00F47D29">
              <w:rPr>
                <w:rFonts w:ascii="Times New Roman" w:hAnsi="Times New Roman" w:cs="Times New Roman"/>
                <w:sz w:val="24"/>
                <w:szCs w:val="24"/>
                <w:shd w:val="clear" w:color="auto" w:fill="FFFFFF"/>
              </w:rPr>
              <w:t>0.59%</w:t>
            </w:r>
          </w:p>
        </w:tc>
        <w:tc>
          <w:tcPr>
            <w:tcW w:w="1521" w:type="dxa"/>
          </w:tcPr>
          <w:p w:rsidR="00347363" w:rsidRPr="00F47D29" w:rsidRDefault="00CB72C2" w:rsidP="00F47D29">
            <w:pPr>
              <w:spacing w:line="480" w:lineRule="auto"/>
              <w:rPr>
                <w:rFonts w:ascii="Times New Roman" w:hAnsi="Times New Roman" w:cs="Times New Roman"/>
                <w:sz w:val="24"/>
                <w:szCs w:val="24"/>
                <w:shd w:val="clear" w:color="auto" w:fill="FFFFFF"/>
              </w:rPr>
            </w:pPr>
            <w:r w:rsidRPr="00F47D29">
              <w:rPr>
                <w:rFonts w:ascii="Times New Roman" w:hAnsi="Times New Roman" w:cs="Times New Roman"/>
                <w:sz w:val="24"/>
                <w:szCs w:val="24"/>
                <w:shd w:val="clear" w:color="auto" w:fill="FFFFFF"/>
              </w:rPr>
              <w:t>$23.2</w:t>
            </w:r>
          </w:p>
        </w:tc>
        <w:tc>
          <w:tcPr>
            <w:tcW w:w="1530" w:type="dxa"/>
          </w:tcPr>
          <w:p w:rsidR="00347363" w:rsidRPr="00F47D29" w:rsidRDefault="00394D1B" w:rsidP="00F47D29">
            <w:pPr>
              <w:spacing w:line="480" w:lineRule="auto"/>
              <w:rPr>
                <w:rFonts w:ascii="Times New Roman" w:hAnsi="Times New Roman" w:cs="Times New Roman"/>
                <w:sz w:val="24"/>
                <w:szCs w:val="24"/>
                <w:shd w:val="clear" w:color="auto" w:fill="FFFFFF"/>
              </w:rPr>
            </w:pPr>
            <w:r w:rsidRPr="00F47D29">
              <w:rPr>
                <w:rFonts w:ascii="Times New Roman" w:hAnsi="Times New Roman" w:cs="Times New Roman"/>
                <w:sz w:val="24"/>
                <w:szCs w:val="24"/>
                <w:shd w:val="clear" w:color="auto" w:fill="FFFFFF"/>
              </w:rPr>
              <w:t>1.8%</w:t>
            </w:r>
          </w:p>
        </w:tc>
      </w:tr>
      <w:tr w:rsidR="00347363" w:rsidRPr="00F47D29" w:rsidTr="00A41F26">
        <w:tc>
          <w:tcPr>
            <w:tcW w:w="2362" w:type="dxa"/>
          </w:tcPr>
          <w:p w:rsidR="00347363" w:rsidRPr="00F47D29" w:rsidRDefault="00250A5B" w:rsidP="00F47D29">
            <w:pPr>
              <w:spacing w:line="480" w:lineRule="auto"/>
              <w:rPr>
                <w:rFonts w:ascii="Times New Roman" w:hAnsi="Times New Roman" w:cs="Times New Roman"/>
                <w:sz w:val="24"/>
                <w:szCs w:val="24"/>
                <w:shd w:val="clear" w:color="auto" w:fill="FFFFFF"/>
              </w:rPr>
            </w:pPr>
            <w:r w:rsidRPr="00F47D29">
              <w:rPr>
                <w:rFonts w:ascii="Times New Roman" w:hAnsi="Times New Roman" w:cs="Times New Roman"/>
                <w:sz w:val="24"/>
                <w:szCs w:val="24"/>
                <w:shd w:val="clear" w:color="auto" w:fill="FFFFFF"/>
              </w:rPr>
              <w:t>Other current assets</w:t>
            </w:r>
          </w:p>
        </w:tc>
        <w:tc>
          <w:tcPr>
            <w:tcW w:w="1530" w:type="dxa"/>
          </w:tcPr>
          <w:p w:rsidR="00347363" w:rsidRPr="00F47D29" w:rsidRDefault="00250A5B" w:rsidP="00F47D29">
            <w:pPr>
              <w:spacing w:line="480" w:lineRule="auto"/>
              <w:rPr>
                <w:rFonts w:ascii="Times New Roman" w:hAnsi="Times New Roman" w:cs="Times New Roman"/>
                <w:sz w:val="24"/>
                <w:szCs w:val="24"/>
                <w:shd w:val="clear" w:color="auto" w:fill="FFFFFF"/>
              </w:rPr>
            </w:pPr>
            <w:r w:rsidRPr="00F47D29">
              <w:rPr>
                <w:rFonts w:ascii="Times New Roman" w:hAnsi="Times New Roman" w:cs="Times New Roman"/>
                <w:sz w:val="24"/>
                <w:szCs w:val="24"/>
                <w:shd w:val="clear" w:color="auto" w:fill="FFFFFF"/>
              </w:rPr>
              <w:t>$ 51.6</w:t>
            </w:r>
          </w:p>
        </w:tc>
        <w:tc>
          <w:tcPr>
            <w:tcW w:w="1349" w:type="dxa"/>
          </w:tcPr>
          <w:p w:rsidR="00347363" w:rsidRPr="00F47D29" w:rsidRDefault="00394D1B" w:rsidP="00F47D29">
            <w:pPr>
              <w:spacing w:line="480" w:lineRule="auto"/>
              <w:rPr>
                <w:rFonts w:ascii="Times New Roman" w:hAnsi="Times New Roman" w:cs="Times New Roman"/>
                <w:sz w:val="24"/>
                <w:szCs w:val="24"/>
                <w:shd w:val="clear" w:color="auto" w:fill="FFFFFF"/>
              </w:rPr>
            </w:pPr>
            <w:r w:rsidRPr="00F47D29">
              <w:rPr>
                <w:rFonts w:ascii="Times New Roman" w:hAnsi="Times New Roman" w:cs="Times New Roman"/>
                <w:sz w:val="24"/>
                <w:szCs w:val="24"/>
                <w:shd w:val="clear" w:color="auto" w:fill="FFFFFF"/>
              </w:rPr>
              <w:t>2.2%</w:t>
            </w:r>
          </w:p>
        </w:tc>
        <w:tc>
          <w:tcPr>
            <w:tcW w:w="1521" w:type="dxa"/>
          </w:tcPr>
          <w:p w:rsidR="00347363" w:rsidRPr="00F47D29" w:rsidRDefault="00250A5B" w:rsidP="00F47D29">
            <w:pPr>
              <w:spacing w:line="480" w:lineRule="auto"/>
              <w:rPr>
                <w:rFonts w:ascii="Times New Roman" w:hAnsi="Times New Roman" w:cs="Times New Roman"/>
                <w:sz w:val="24"/>
                <w:szCs w:val="24"/>
                <w:shd w:val="clear" w:color="auto" w:fill="FFFFFF"/>
              </w:rPr>
            </w:pPr>
            <w:r w:rsidRPr="00F47D29">
              <w:rPr>
                <w:rFonts w:ascii="Times New Roman" w:hAnsi="Times New Roman" w:cs="Times New Roman"/>
                <w:sz w:val="24"/>
                <w:szCs w:val="24"/>
                <w:shd w:val="clear" w:color="auto" w:fill="FFFFFF"/>
              </w:rPr>
              <w:t>$47.1</w:t>
            </w:r>
          </w:p>
        </w:tc>
        <w:tc>
          <w:tcPr>
            <w:tcW w:w="1530" w:type="dxa"/>
          </w:tcPr>
          <w:p w:rsidR="00347363" w:rsidRPr="00F47D29" w:rsidRDefault="00394D1B" w:rsidP="00F47D29">
            <w:pPr>
              <w:spacing w:line="480" w:lineRule="auto"/>
              <w:rPr>
                <w:rFonts w:ascii="Times New Roman" w:hAnsi="Times New Roman" w:cs="Times New Roman"/>
                <w:sz w:val="24"/>
                <w:szCs w:val="24"/>
                <w:shd w:val="clear" w:color="auto" w:fill="FFFFFF"/>
              </w:rPr>
            </w:pPr>
            <w:r w:rsidRPr="00F47D29">
              <w:rPr>
                <w:rFonts w:ascii="Times New Roman" w:hAnsi="Times New Roman" w:cs="Times New Roman"/>
                <w:sz w:val="24"/>
                <w:szCs w:val="24"/>
                <w:shd w:val="clear" w:color="auto" w:fill="FFFFFF"/>
              </w:rPr>
              <w:t>3.74%</w:t>
            </w:r>
          </w:p>
        </w:tc>
      </w:tr>
      <w:tr w:rsidR="00347363" w:rsidRPr="00F47D29" w:rsidTr="00A41F26">
        <w:tc>
          <w:tcPr>
            <w:tcW w:w="2362" w:type="dxa"/>
          </w:tcPr>
          <w:p w:rsidR="00347363" w:rsidRPr="00F47D29" w:rsidRDefault="00250A5B" w:rsidP="00F47D29">
            <w:pPr>
              <w:spacing w:line="480" w:lineRule="auto"/>
              <w:rPr>
                <w:rFonts w:ascii="Times New Roman" w:hAnsi="Times New Roman" w:cs="Times New Roman"/>
                <w:b/>
                <w:sz w:val="24"/>
                <w:szCs w:val="24"/>
                <w:shd w:val="clear" w:color="auto" w:fill="FFFFFF"/>
              </w:rPr>
            </w:pPr>
            <w:r w:rsidRPr="00F47D29">
              <w:rPr>
                <w:rFonts w:ascii="Times New Roman" w:hAnsi="Times New Roman" w:cs="Times New Roman"/>
                <w:b/>
                <w:sz w:val="24"/>
                <w:szCs w:val="24"/>
                <w:shd w:val="clear" w:color="auto" w:fill="FFFFFF"/>
              </w:rPr>
              <w:t>Total Current Assets</w:t>
            </w:r>
          </w:p>
        </w:tc>
        <w:tc>
          <w:tcPr>
            <w:tcW w:w="1530" w:type="dxa"/>
          </w:tcPr>
          <w:p w:rsidR="00347363" w:rsidRPr="00F47D29" w:rsidRDefault="00250A5B" w:rsidP="00F47D29">
            <w:pPr>
              <w:spacing w:line="480" w:lineRule="auto"/>
              <w:rPr>
                <w:rFonts w:ascii="Times New Roman" w:hAnsi="Times New Roman" w:cs="Times New Roman"/>
                <w:sz w:val="24"/>
                <w:szCs w:val="24"/>
                <w:shd w:val="clear" w:color="auto" w:fill="FFFFFF"/>
              </w:rPr>
            </w:pPr>
            <w:r w:rsidRPr="00F47D29">
              <w:rPr>
                <w:rFonts w:ascii="Times New Roman" w:hAnsi="Times New Roman" w:cs="Times New Roman"/>
                <w:sz w:val="24"/>
                <w:szCs w:val="24"/>
                <w:shd w:val="clear" w:color="auto" w:fill="FFFFFF"/>
              </w:rPr>
              <w:t>$224.4</w:t>
            </w:r>
          </w:p>
        </w:tc>
        <w:tc>
          <w:tcPr>
            <w:tcW w:w="1349" w:type="dxa"/>
          </w:tcPr>
          <w:p w:rsidR="00347363" w:rsidRPr="00F47D29" w:rsidRDefault="00394D1B" w:rsidP="00F47D29">
            <w:pPr>
              <w:spacing w:line="480" w:lineRule="auto"/>
              <w:rPr>
                <w:rFonts w:ascii="Times New Roman" w:hAnsi="Times New Roman" w:cs="Times New Roman"/>
                <w:sz w:val="24"/>
                <w:szCs w:val="24"/>
                <w:shd w:val="clear" w:color="auto" w:fill="FFFFFF"/>
              </w:rPr>
            </w:pPr>
            <w:r w:rsidRPr="00F47D29">
              <w:rPr>
                <w:rFonts w:ascii="Times New Roman" w:hAnsi="Times New Roman" w:cs="Times New Roman"/>
                <w:sz w:val="24"/>
                <w:szCs w:val="24"/>
                <w:shd w:val="clear" w:color="auto" w:fill="FFFFFF"/>
              </w:rPr>
              <w:t>9.5%</w:t>
            </w:r>
          </w:p>
        </w:tc>
        <w:tc>
          <w:tcPr>
            <w:tcW w:w="1521" w:type="dxa"/>
          </w:tcPr>
          <w:p w:rsidR="00347363" w:rsidRPr="00F47D29" w:rsidRDefault="00250A5B" w:rsidP="00F47D29">
            <w:pPr>
              <w:spacing w:line="480" w:lineRule="auto"/>
              <w:rPr>
                <w:rFonts w:ascii="Times New Roman" w:hAnsi="Times New Roman" w:cs="Times New Roman"/>
                <w:sz w:val="24"/>
                <w:szCs w:val="24"/>
                <w:shd w:val="clear" w:color="auto" w:fill="FFFFFF"/>
              </w:rPr>
            </w:pPr>
            <w:r w:rsidRPr="00F47D29">
              <w:rPr>
                <w:rFonts w:ascii="Times New Roman" w:hAnsi="Times New Roman" w:cs="Times New Roman"/>
                <w:sz w:val="24"/>
                <w:szCs w:val="24"/>
                <w:shd w:val="clear" w:color="auto" w:fill="FFFFFF"/>
              </w:rPr>
              <w:t>$177</w:t>
            </w:r>
          </w:p>
        </w:tc>
        <w:tc>
          <w:tcPr>
            <w:tcW w:w="1530" w:type="dxa"/>
          </w:tcPr>
          <w:p w:rsidR="00347363" w:rsidRPr="00F47D29" w:rsidRDefault="00394D1B" w:rsidP="00F47D29">
            <w:pPr>
              <w:spacing w:line="480" w:lineRule="auto"/>
              <w:rPr>
                <w:rFonts w:ascii="Times New Roman" w:hAnsi="Times New Roman" w:cs="Times New Roman"/>
                <w:sz w:val="24"/>
                <w:szCs w:val="24"/>
                <w:shd w:val="clear" w:color="auto" w:fill="FFFFFF"/>
              </w:rPr>
            </w:pPr>
            <w:r w:rsidRPr="00F47D29">
              <w:rPr>
                <w:rFonts w:ascii="Times New Roman" w:hAnsi="Times New Roman" w:cs="Times New Roman"/>
                <w:sz w:val="24"/>
                <w:szCs w:val="24"/>
                <w:shd w:val="clear" w:color="auto" w:fill="FFFFFF"/>
              </w:rPr>
              <w:t>14.1%</w:t>
            </w:r>
          </w:p>
        </w:tc>
      </w:tr>
      <w:tr w:rsidR="00347363" w:rsidRPr="00F47D29" w:rsidTr="00A41F26">
        <w:tc>
          <w:tcPr>
            <w:tcW w:w="2362" w:type="dxa"/>
          </w:tcPr>
          <w:p w:rsidR="00347363" w:rsidRPr="00F47D29" w:rsidRDefault="00592255" w:rsidP="00F47D29">
            <w:pPr>
              <w:spacing w:line="480" w:lineRule="auto"/>
              <w:rPr>
                <w:rFonts w:ascii="Times New Roman" w:hAnsi="Times New Roman" w:cs="Times New Roman"/>
                <w:sz w:val="24"/>
                <w:szCs w:val="24"/>
                <w:shd w:val="clear" w:color="auto" w:fill="FFFFFF"/>
              </w:rPr>
            </w:pPr>
            <w:r w:rsidRPr="00F47D29">
              <w:rPr>
                <w:rFonts w:ascii="Times New Roman" w:hAnsi="Times New Roman" w:cs="Times New Roman"/>
                <w:sz w:val="24"/>
                <w:szCs w:val="24"/>
                <w:shd w:val="clear" w:color="auto" w:fill="FFFFFF"/>
              </w:rPr>
              <w:t>Property, Plant ,And  Equipment</w:t>
            </w:r>
          </w:p>
        </w:tc>
        <w:tc>
          <w:tcPr>
            <w:tcW w:w="1530" w:type="dxa"/>
          </w:tcPr>
          <w:p w:rsidR="00347363" w:rsidRPr="00F47D29" w:rsidRDefault="00592255" w:rsidP="00F47D29">
            <w:pPr>
              <w:spacing w:line="480" w:lineRule="auto"/>
              <w:rPr>
                <w:rFonts w:ascii="Times New Roman" w:hAnsi="Times New Roman" w:cs="Times New Roman"/>
                <w:sz w:val="24"/>
                <w:szCs w:val="24"/>
                <w:shd w:val="clear" w:color="auto" w:fill="FFFFFF"/>
              </w:rPr>
            </w:pPr>
            <w:r w:rsidRPr="00F47D29">
              <w:rPr>
                <w:rFonts w:ascii="Times New Roman" w:hAnsi="Times New Roman" w:cs="Times New Roman"/>
                <w:sz w:val="24"/>
                <w:szCs w:val="24"/>
                <w:shd w:val="clear" w:color="auto" w:fill="FFFFFF"/>
              </w:rPr>
              <w:t>$805.3</w:t>
            </w:r>
          </w:p>
        </w:tc>
        <w:tc>
          <w:tcPr>
            <w:tcW w:w="1349" w:type="dxa"/>
          </w:tcPr>
          <w:p w:rsidR="00347363" w:rsidRPr="00F47D29" w:rsidRDefault="00394D1B" w:rsidP="00F47D29">
            <w:pPr>
              <w:spacing w:line="480" w:lineRule="auto"/>
              <w:rPr>
                <w:rFonts w:ascii="Times New Roman" w:hAnsi="Times New Roman" w:cs="Times New Roman"/>
                <w:sz w:val="24"/>
                <w:szCs w:val="24"/>
                <w:shd w:val="clear" w:color="auto" w:fill="FFFFFF"/>
              </w:rPr>
            </w:pPr>
            <w:r w:rsidRPr="00F47D29">
              <w:rPr>
                <w:rFonts w:ascii="Times New Roman" w:hAnsi="Times New Roman" w:cs="Times New Roman"/>
                <w:sz w:val="24"/>
                <w:szCs w:val="24"/>
                <w:shd w:val="clear" w:color="auto" w:fill="FFFFFF"/>
              </w:rPr>
              <w:t>34.20%</w:t>
            </w:r>
          </w:p>
        </w:tc>
        <w:tc>
          <w:tcPr>
            <w:tcW w:w="1521" w:type="dxa"/>
          </w:tcPr>
          <w:p w:rsidR="00347363" w:rsidRPr="00F47D29" w:rsidRDefault="00592255" w:rsidP="00F47D29">
            <w:pPr>
              <w:spacing w:line="480" w:lineRule="auto"/>
              <w:rPr>
                <w:rFonts w:ascii="Times New Roman" w:hAnsi="Times New Roman" w:cs="Times New Roman"/>
                <w:sz w:val="24"/>
                <w:szCs w:val="24"/>
                <w:shd w:val="clear" w:color="auto" w:fill="FFFFFF"/>
              </w:rPr>
            </w:pPr>
            <w:r w:rsidRPr="00F47D29">
              <w:rPr>
                <w:rFonts w:ascii="Times New Roman" w:hAnsi="Times New Roman" w:cs="Times New Roman"/>
                <w:sz w:val="24"/>
                <w:szCs w:val="24"/>
                <w:shd w:val="clear" w:color="auto" w:fill="FFFFFF"/>
              </w:rPr>
              <w:t>$755.1</w:t>
            </w:r>
          </w:p>
        </w:tc>
        <w:tc>
          <w:tcPr>
            <w:tcW w:w="1530" w:type="dxa"/>
          </w:tcPr>
          <w:p w:rsidR="00347363" w:rsidRPr="00F47D29" w:rsidRDefault="00394D1B" w:rsidP="00F47D29">
            <w:pPr>
              <w:spacing w:line="480" w:lineRule="auto"/>
              <w:rPr>
                <w:rFonts w:ascii="Times New Roman" w:hAnsi="Times New Roman" w:cs="Times New Roman"/>
                <w:sz w:val="24"/>
                <w:szCs w:val="24"/>
                <w:shd w:val="clear" w:color="auto" w:fill="FFFFFF"/>
              </w:rPr>
            </w:pPr>
            <w:r w:rsidRPr="00F47D29">
              <w:rPr>
                <w:rFonts w:ascii="Times New Roman" w:hAnsi="Times New Roman" w:cs="Times New Roman"/>
                <w:sz w:val="24"/>
                <w:szCs w:val="24"/>
                <w:shd w:val="clear" w:color="auto" w:fill="FFFFFF"/>
              </w:rPr>
              <w:t>60.0%</w:t>
            </w:r>
          </w:p>
        </w:tc>
      </w:tr>
      <w:tr w:rsidR="00347363" w:rsidRPr="00F47D29" w:rsidTr="00A41F26">
        <w:tc>
          <w:tcPr>
            <w:tcW w:w="2362" w:type="dxa"/>
          </w:tcPr>
          <w:p w:rsidR="00347363" w:rsidRPr="00F47D29" w:rsidRDefault="00592255" w:rsidP="00F47D29">
            <w:pPr>
              <w:spacing w:line="480" w:lineRule="auto"/>
              <w:rPr>
                <w:rFonts w:ascii="Times New Roman" w:hAnsi="Times New Roman" w:cs="Times New Roman"/>
                <w:sz w:val="24"/>
                <w:szCs w:val="24"/>
                <w:shd w:val="clear" w:color="auto" w:fill="FFFFFF"/>
              </w:rPr>
            </w:pPr>
            <w:r w:rsidRPr="00F47D29">
              <w:rPr>
                <w:rFonts w:ascii="Times New Roman" w:hAnsi="Times New Roman" w:cs="Times New Roman"/>
                <w:sz w:val="24"/>
                <w:szCs w:val="24"/>
                <w:shd w:val="clear" w:color="auto" w:fill="FFFFFF"/>
              </w:rPr>
              <w:t>Long –Term Investment</w:t>
            </w:r>
          </w:p>
        </w:tc>
        <w:tc>
          <w:tcPr>
            <w:tcW w:w="1530" w:type="dxa"/>
          </w:tcPr>
          <w:p w:rsidR="00347363" w:rsidRPr="00F47D29" w:rsidRDefault="00592255" w:rsidP="00F47D29">
            <w:pPr>
              <w:spacing w:line="480" w:lineRule="auto"/>
              <w:rPr>
                <w:rFonts w:ascii="Times New Roman" w:hAnsi="Times New Roman" w:cs="Times New Roman"/>
                <w:sz w:val="24"/>
                <w:szCs w:val="24"/>
                <w:shd w:val="clear" w:color="auto" w:fill="FFFFFF"/>
              </w:rPr>
            </w:pPr>
            <w:r w:rsidRPr="00F47D29">
              <w:rPr>
                <w:rFonts w:ascii="Times New Roman" w:hAnsi="Times New Roman" w:cs="Times New Roman"/>
                <w:sz w:val="24"/>
                <w:szCs w:val="24"/>
                <w:shd w:val="clear" w:color="auto" w:fill="FFFFFF"/>
              </w:rPr>
              <w:t>-</w:t>
            </w:r>
          </w:p>
        </w:tc>
        <w:tc>
          <w:tcPr>
            <w:tcW w:w="1349" w:type="dxa"/>
          </w:tcPr>
          <w:p w:rsidR="00347363" w:rsidRPr="00F47D29" w:rsidRDefault="00592255" w:rsidP="00F47D29">
            <w:pPr>
              <w:spacing w:line="480" w:lineRule="auto"/>
              <w:rPr>
                <w:rFonts w:ascii="Times New Roman" w:hAnsi="Times New Roman" w:cs="Times New Roman"/>
                <w:sz w:val="24"/>
                <w:szCs w:val="24"/>
                <w:shd w:val="clear" w:color="auto" w:fill="FFFFFF"/>
              </w:rPr>
            </w:pPr>
            <w:r w:rsidRPr="00F47D29">
              <w:rPr>
                <w:rFonts w:ascii="Times New Roman" w:hAnsi="Times New Roman" w:cs="Times New Roman"/>
                <w:sz w:val="24"/>
                <w:szCs w:val="24"/>
                <w:shd w:val="clear" w:color="auto" w:fill="FFFFFF"/>
              </w:rPr>
              <w:t>-</w:t>
            </w:r>
          </w:p>
        </w:tc>
        <w:tc>
          <w:tcPr>
            <w:tcW w:w="1521" w:type="dxa"/>
          </w:tcPr>
          <w:p w:rsidR="00347363" w:rsidRPr="00F47D29" w:rsidRDefault="00592255" w:rsidP="00F47D29">
            <w:pPr>
              <w:spacing w:line="480" w:lineRule="auto"/>
              <w:jc w:val="center"/>
              <w:rPr>
                <w:rFonts w:ascii="Times New Roman" w:hAnsi="Times New Roman" w:cs="Times New Roman"/>
                <w:sz w:val="24"/>
                <w:szCs w:val="24"/>
                <w:shd w:val="clear" w:color="auto" w:fill="FFFFFF"/>
              </w:rPr>
            </w:pPr>
            <w:r w:rsidRPr="00F47D29">
              <w:rPr>
                <w:rFonts w:ascii="Times New Roman" w:hAnsi="Times New Roman" w:cs="Times New Roman"/>
                <w:sz w:val="24"/>
                <w:szCs w:val="24"/>
                <w:shd w:val="clear" w:color="auto" w:fill="FFFFFF"/>
              </w:rPr>
              <w:t>-</w:t>
            </w:r>
          </w:p>
        </w:tc>
        <w:tc>
          <w:tcPr>
            <w:tcW w:w="1530" w:type="dxa"/>
          </w:tcPr>
          <w:p w:rsidR="00347363" w:rsidRPr="00F47D29" w:rsidRDefault="00592255" w:rsidP="00F47D29">
            <w:pPr>
              <w:spacing w:line="480" w:lineRule="auto"/>
              <w:rPr>
                <w:rFonts w:ascii="Times New Roman" w:hAnsi="Times New Roman" w:cs="Times New Roman"/>
                <w:sz w:val="24"/>
                <w:szCs w:val="24"/>
                <w:shd w:val="clear" w:color="auto" w:fill="FFFFFF"/>
              </w:rPr>
            </w:pPr>
            <w:r w:rsidRPr="00F47D29">
              <w:rPr>
                <w:rFonts w:ascii="Times New Roman" w:hAnsi="Times New Roman" w:cs="Times New Roman"/>
                <w:sz w:val="24"/>
                <w:szCs w:val="24"/>
                <w:shd w:val="clear" w:color="auto" w:fill="FFFFFF"/>
              </w:rPr>
              <w:t>-</w:t>
            </w:r>
          </w:p>
        </w:tc>
      </w:tr>
      <w:tr w:rsidR="00347363" w:rsidRPr="00F47D29" w:rsidTr="00A41F26">
        <w:tc>
          <w:tcPr>
            <w:tcW w:w="2362" w:type="dxa"/>
          </w:tcPr>
          <w:p w:rsidR="00347363" w:rsidRPr="00F47D29" w:rsidRDefault="00592255" w:rsidP="00F47D29">
            <w:pPr>
              <w:spacing w:line="480" w:lineRule="auto"/>
              <w:rPr>
                <w:rFonts w:ascii="Times New Roman" w:hAnsi="Times New Roman" w:cs="Times New Roman"/>
                <w:sz w:val="24"/>
                <w:szCs w:val="24"/>
                <w:shd w:val="clear" w:color="auto" w:fill="FFFFFF"/>
              </w:rPr>
            </w:pPr>
            <w:r w:rsidRPr="00F47D29">
              <w:rPr>
                <w:rFonts w:ascii="Times New Roman" w:hAnsi="Times New Roman" w:cs="Times New Roman"/>
                <w:sz w:val="24"/>
                <w:szCs w:val="24"/>
                <w:shd w:val="clear" w:color="auto" w:fill="FFFFFF"/>
              </w:rPr>
              <w:t xml:space="preserve">Good will an Intangible assets </w:t>
            </w:r>
          </w:p>
        </w:tc>
        <w:tc>
          <w:tcPr>
            <w:tcW w:w="1530" w:type="dxa"/>
          </w:tcPr>
          <w:p w:rsidR="00347363" w:rsidRPr="00F47D29" w:rsidRDefault="00470AFE" w:rsidP="00F47D29">
            <w:pPr>
              <w:spacing w:line="480" w:lineRule="auto"/>
              <w:rPr>
                <w:rFonts w:ascii="Times New Roman" w:hAnsi="Times New Roman" w:cs="Times New Roman"/>
                <w:sz w:val="24"/>
                <w:szCs w:val="24"/>
                <w:shd w:val="clear" w:color="auto" w:fill="FFFFFF"/>
              </w:rPr>
            </w:pPr>
            <w:r w:rsidRPr="00F47D29">
              <w:rPr>
                <w:rFonts w:ascii="Times New Roman" w:hAnsi="Times New Roman" w:cs="Times New Roman"/>
                <w:sz w:val="24"/>
                <w:szCs w:val="24"/>
                <w:shd w:val="clear" w:color="auto" w:fill="FFFFFF"/>
              </w:rPr>
              <w:t>$210.6</w:t>
            </w:r>
          </w:p>
        </w:tc>
        <w:tc>
          <w:tcPr>
            <w:tcW w:w="1349" w:type="dxa"/>
          </w:tcPr>
          <w:p w:rsidR="00347363" w:rsidRPr="00F47D29" w:rsidRDefault="00CD33F7" w:rsidP="00F47D29">
            <w:pPr>
              <w:spacing w:line="480" w:lineRule="auto"/>
              <w:rPr>
                <w:rFonts w:ascii="Times New Roman" w:hAnsi="Times New Roman" w:cs="Times New Roman"/>
                <w:sz w:val="24"/>
                <w:szCs w:val="24"/>
                <w:shd w:val="clear" w:color="auto" w:fill="FFFFFF"/>
              </w:rPr>
            </w:pPr>
            <w:r w:rsidRPr="00F47D29">
              <w:rPr>
                <w:rFonts w:ascii="Times New Roman" w:hAnsi="Times New Roman" w:cs="Times New Roman"/>
                <w:sz w:val="24"/>
                <w:szCs w:val="24"/>
                <w:shd w:val="clear" w:color="auto" w:fill="FFFFFF"/>
              </w:rPr>
              <w:t>8.9%</w:t>
            </w:r>
          </w:p>
        </w:tc>
        <w:tc>
          <w:tcPr>
            <w:tcW w:w="1521" w:type="dxa"/>
          </w:tcPr>
          <w:p w:rsidR="00347363" w:rsidRPr="00F47D29" w:rsidRDefault="00470AFE" w:rsidP="00F47D29">
            <w:pPr>
              <w:spacing w:line="480" w:lineRule="auto"/>
              <w:rPr>
                <w:rFonts w:ascii="Times New Roman" w:hAnsi="Times New Roman" w:cs="Times New Roman"/>
                <w:sz w:val="24"/>
                <w:szCs w:val="24"/>
                <w:shd w:val="clear" w:color="auto" w:fill="FFFFFF"/>
              </w:rPr>
            </w:pPr>
            <w:r w:rsidRPr="00F47D29">
              <w:rPr>
                <w:rFonts w:ascii="Times New Roman" w:hAnsi="Times New Roman" w:cs="Times New Roman"/>
                <w:sz w:val="24"/>
                <w:szCs w:val="24"/>
                <w:shd w:val="clear" w:color="auto" w:fill="FFFFFF"/>
              </w:rPr>
              <w:t>$187.8</w:t>
            </w:r>
          </w:p>
        </w:tc>
        <w:tc>
          <w:tcPr>
            <w:tcW w:w="1530" w:type="dxa"/>
          </w:tcPr>
          <w:p w:rsidR="00347363" w:rsidRPr="00F47D29" w:rsidRDefault="00CD33F7" w:rsidP="00F47D29">
            <w:pPr>
              <w:spacing w:line="480" w:lineRule="auto"/>
              <w:rPr>
                <w:rFonts w:ascii="Times New Roman" w:hAnsi="Times New Roman" w:cs="Times New Roman"/>
                <w:sz w:val="24"/>
                <w:szCs w:val="24"/>
                <w:shd w:val="clear" w:color="auto" w:fill="FFFFFF"/>
              </w:rPr>
            </w:pPr>
            <w:r w:rsidRPr="00F47D29">
              <w:rPr>
                <w:rFonts w:ascii="Times New Roman" w:hAnsi="Times New Roman" w:cs="Times New Roman"/>
                <w:sz w:val="24"/>
                <w:szCs w:val="24"/>
                <w:shd w:val="clear" w:color="auto" w:fill="FFFFFF"/>
              </w:rPr>
              <w:t>14.9%</w:t>
            </w:r>
          </w:p>
        </w:tc>
      </w:tr>
      <w:tr w:rsidR="00347363" w:rsidRPr="00F47D29" w:rsidTr="00A41F26">
        <w:tc>
          <w:tcPr>
            <w:tcW w:w="2362" w:type="dxa"/>
          </w:tcPr>
          <w:p w:rsidR="00347363" w:rsidRPr="00F47D29" w:rsidRDefault="00470AFE" w:rsidP="00F47D29">
            <w:pPr>
              <w:spacing w:line="480" w:lineRule="auto"/>
              <w:rPr>
                <w:rFonts w:ascii="Times New Roman" w:hAnsi="Times New Roman" w:cs="Times New Roman"/>
                <w:sz w:val="24"/>
                <w:szCs w:val="24"/>
                <w:shd w:val="clear" w:color="auto" w:fill="FFFFFF"/>
              </w:rPr>
            </w:pPr>
            <w:r w:rsidRPr="00F47D29">
              <w:rPr>
                <w:rFonts w:ascii="Times New Roman" w:hAnsi="Times New Roman" w:cs="Times New Roman"/>
                <w:sz w:val="24"/>
                <w:szCs w:val="24"/>
                <w:shd w:val="clear" w:color="auto" w:fill="FFFFFF"/>
              </w:rPr>
              <w:t>Other Long-Term Assets</w:t>
            </w:r>
          </w:p>
        </w:tc>
        <w:tc>
          <w:tcPr>
            <w:tcW w:w="1530" w:type="dxa"/>
          </w:tcPr>
          <w:p w:rsidR="00347363" w:rsidRPr="00F47D29" w:rsidRDefault="00470AFE" w:rsidP="00F47D29">
            <w:pPr>
              <w:spacing w:line="480" w:lineRule="auto"/>
              <w:rPr>
                <w:rFonts w:ascii="Times New Roman" w:hAnsi="Times New Roman" w:cs="Times New Roman"/>
                <w:sz w:val="24"/>
                <w:szCs w:val="24"/>
                <w:shd w:val="clear" w:color="auto" w:fill="FFFFFF"/>
              </w:rPr>
            </w:pPr>
            <w:r w:rsidRPr="00F47D29">
              <w:rPr>
                <w:rFonts w:ascii="Times New Roman" w:hAnsi="Times New Roman" w:cs="Times New Roman"/>
                <w:sz w:val="24"/>
                <w:szCs w:val="24"/>
                <w:shd w:val="clear" w:color="auto" w:fill="FFFFFF"/>
              </w:rPr>
              <w:t>$22.9</w:t>
            </w:r>
          </w:p>
        </w:tc>
        <w:tc>
          <w:tcPr>
            <w:tcW w:w="1349" w:type="dxa"/>
          </w:tcPr>
          <w:p w:rsidR="00347363" w:rsidRPr="00F47D29" w:rsidRDefault="00CD33F7" w:rsidP="00F47D29">
            <w:pPr>
              <w:spacing w:line="480" w:lineRule="auto"/>
              <w:rPr>
                <w:rFonts w:ascii="Times New Roman" w:hAnsi="Times New Roman" w:cs="Times New Roman"/>
                <w:sz w:val="24"/>
                <w:szCs w:val="24"/>
                <w:shd w:val="clear" w:color="auto" w:fill="FFFFFF"/>
              </w:rPr>
            </w:pPr>
            <w:r w:rsidRPr="00F47D29">
              <w:rPr>
                <w:rFonts w:ascii="Times New Roman" w:hAnsi="Times New Roman" w:cs="Times New Roman"/>
                <w:sz w:val="24"/>
                <w:szCs w:val="24"/>
                <w:shd w:val="clear" w:color="auto" w:fill="FFFFFF"/>
              </w:rPr>
              <w:t>1.0%</w:t>
            </w:r>
          </w:p>
        </w:tc>
        <w:tc>
          <w:tcPr>
            <w:tcW w:w="1521" w:type="dxa"/>
          </w:tcPr>
          <w:p w:rsidR="00347363" w:rsidRPr="00F47D29" w:rsidRDefault="00470AFE" w:rsidP="00F47D29">
            <w:pPr>
              <w:spacing w:line="480" w:lineRule="auto"/>
              <w:rPr>
                <w:rFonts w:ascii="Times New Roman" w:hAnsi="Times New Roman" w:cs="Times New Roman"/>
                <w:sz w:val="24"/>
                <w:szCs w:val="24"/>
                <w:shd w:val="clear" w:color="auto" w:fill="FFFFFF"/>
              </w:rPr>
            </w:pPr>
            <w:r w:rsidRPr="00F47D29">
              <w:rPr>
                <w:rFonts w:ascii="Times New Roman" w:hAnsi="Times New Roman" w:cs="Times New Roman"/>
                <w:sz w:val="24"/>
                <w:szCs w:val="24"/>
                <w:shd w:val="clear" w:color="auto" w:fill="FFFFFF"/>
              </w:rPr>
              <w:t>$26.4</w:t>
            </w:r>
          </w:p>
        </w:tc>
        <w:tc>
          <w:tcPr>
            <w:tcW w:w="1530" w:type="dxa"/>
          </w:tcPr>
          <w:p w:rsidR="00347363" w:rsidRPr="00F47D29" w:rsidRDefault="00CD33F7" w:rsidP="00F47D29">
            <w:pPr>
              <w:spacing w:line="480" w:lineRule="auto"/>
              <w:rPr>
                <w:rFonts w:ascii="Times New Roman" w:hAnsi="Times New Roman" w:cs="Times New Roman"/>
                <w:sz w:val="24"/>
                <w:szCs w:val="24"/>
                <w:shd w:val="clear" w:color="auto" w:fill="FFFFFF"/>
              </w:rPr>
            </w:pPr>
            <w:r w:rsidRPr="00F47D29">
              <w:rPr>
                <w:rFonts w:ascii="Times New Roman" w:hAnsi="Times New Roman" w:cs="Times New Roman"/>
                <w:sz w:val="24"/>
                <w:szCs w:val="24"/>
                <w:shd w:val="clear" w:color="auto" w:fill="FFFFFF"/>
              </w:rPr>
              <w:t>2.1%</w:t>
            </w:r>
          </w:p>
        </w:tc>
      </w:tr>
      <w:tr w:rsidR="00347363" w:rsidRPr="00F47D29" w:rsidTr="00A41F26">
        <w:tc>
          <w:tcPr>
            <w:tcW w:w="2362" w:type="dxa"/>
          </w:tcPr>
          <w:p w:rsidR="00347363" w:rsidRPr="00F47D29" w:rsidRDefault="00470AFE" w:rsidP="00F47D29">
            <w:pPr>
              <w:spacing w:line="480" w:lineRule="auto"/>
              <w:rPr>
                <w:rFonts w:ascii="Times New Roman" w:hAnsi="Times New Roman" w:cs="Times New Roman"/>
                <w:sz w:val="24"/>
                <w:szCs w:val="24"/>
                <w:shd w:val="clear" w:color="auto" w:fill="FFFFFF"/>
              </w:rPr>
            </w:pPr>
            <w:r w:rsidRPr="00F47D29">
              <w:rPr>
                <w:rFonts w:ascii="Times New Roman" w:hAnsi="Times New Roman" w:cs="Times New Roman"/>
                <w:sz w:val="24"/>
                <w:szCs w:val="24"/>
                <w:shd w:val="clear" w:color="auto" w:fill="FFFFFF"/>
              </w:rPr>
              <w:t>Total Long-Term Assets</w:t>
            </w:r>
          </w:p>
        </w:tc>
        <w:tc>
          <w:tcPr>
            <w:tcW w:w="1530" w:type="dxa"/>
          </w:tcPr>
          <w:p w:rsidR="00347363" w:rsidRPr="00F47D29" w:rsidRDefault="00CA39E6" w:rsidP="00F47D29">
            <w:pPr>
              <w:spacing w:line="480" w:lineRule="auto"/>
              <w:rPr>
                <w:rFonts w:ascii="Times New Roman" w:hAnsi="Times New Roman" w:cs="Times New Roman"/>
                <w:sz w:val="24"/>
                <w:szCs w:val="24"/>
                <w:shd w:val="clear" w:color="auto" w:fill="FFFFFF"/>
              </w:rPr>
            </w:pPr>
            <w:r w:rsidRPr="00F47D29">
              <w:rPr>
                <w:rFonts w:ascii="Times New Roman" w:hAnsi="Times New Roman" w:cs="Times New Roman"/>
                <w:sz w:val="24"/>
                <w:szCs w:val="24"/>
                <w:shd w:val="clear" w:color="auto" w:fill="FFFFFF"/>
              </w:rPr>
              <w:t>$2,131.6</w:t>
            </w:r>
          </w:p>
        </w:tc>
        <w:tc>
          <w:tcPr>
            <w:tcW w:w="1349" w:type="dxa"/>
          </w:tcPr>
          <w:p w:rsidR="00347363" w:rsidRPr="00F47D29" w:rsidRDefault="00CD33F7" w:rsidP="00F47D29">
            <w:pPr>
              <w:spacing w:line="480" w:lineRule="auto"/>
              <w:rPr>
                <w:rFonts w:ascii="Times New Roman" w:hAnsi="Times New Roman" w:cs="Times New Roman"/>
                <w:sz w:val="24"/>
                <w:szCs w:val="24"/>
                <w:shd w:val="clear" w:color="auto" w:fill="FFFFFF"/>
              </w:rPr>
            </w:pPr>
            <w:r w:rsidRPr="00F47D29">
              <w:rPr>
                <w:rFonts w:ascii="Times New Roman" w:hAnsi="Times New Roman" w:cs="Times New Roman"/>
                <w:sz w:val="24"/>
                <w:szCs w:val="24"/>
                <w:shd w:val="clear" w:color="auto" w:fill="FFFFFF"/>
              </w:rPr>
              <w:t>90.5%</w:t>
            </w:r>
          </w:p>
        </w:tc>
        <w:tc>
          <w:tcPr>
            <w:tcW w:w="1521" w:type="dxa"/>
          </w:tcPr>
          <w:p w:rsidR="00347363" w:rsidRPr="00F47D29" w:rsidRDefault="00CA39E6" w:rsidP="00F47D29">
            <w:pPr>
              <w:spacing w:line="480" w:lineRule="auto"/>
              <w:rPr>
                <w:rFonts w:ascii="Times New Roman" w:hAnsi="Times New Roman" w:cs="Times New Roman"/>
                <w:sz w:val="24"/>
                <w:szCs w:val="24"/>
                <w:shd w:val="clear" w:color="auto" w:fill="FFFFFF"/>
              </w:rPr>
            </w:pPr>
            <w:r w:rsidRPr="00F47D29">
              <w:rPr>
                <w:rFonts w:ascii="Times New Roman" w:hAnsi="Times New Roman" w:cs="Times New Roman"/>
                <w:sz w:val="24"/>
                <w:szCs w:val="24"/>
                <w:shd w:val="clear" w:color="auto" w:fill="FFFFFF"/>
              </w:rPr>
              <w:t>$1,081.3</w:t>
            </w:r>
          </w:p>
        </w:tc>
        <w:tc>
          <w:tcPr>
            <w:tcW w:w="1530" w:type="dxa"/>
          </w:tcPr>
          <w:p w:rsidR="00347363" w:rsidRPr="00F47D29" w:rsidRDefault="002A1829" w:rsidP="00F47D29">
            <w:pPr>
              <w:spacing w:line="480" w:lineRule="auto"/>
              <w:rPr>
                <w:rFonts w:ascii="Times New Roman" w:hAnsi="Times New Roman" w:cs="Times New Roman"/>
                <w:sz w:val="24"/>
                <w:szCs w:val="24"/>
                <w:shd w:val="clear" w:color="auto" w:fill="FFFFFF"/>
              </w:rPr>
            </w:pPr>
            <w:r w:rsidRPr="00F47D29">
              <w:rPr>
                <w:rFonts w:ascii="Times New Roman" w:hAnsi="Times New Roman" w:cs="Times New Roman"/>
                <w:sz w:val="24"/>
                <w:szCs w:val="24"/>
                <w:shd w:val="clear" w:color="auto" w:fill="FFFFFF"/>
              </w:rPr>
              <w:t>85.9%</w:t>
            </w:r>
          </w:p>
        </w:tc>
      </w:tr>
      <w:tr w:rsidR="00347363" w:rsidRPr="00F47D29" w:rsidTr="00A41F26">
        <w:tc>
          <w:tcPr>
            <w:tcW w:w="2362" w:type="dxa"/>
          </w:tcPr>
          <w:p w:rsidR="00347363" w:rsidRPr="00F47D29" w:rsidRDefault="0085241B" w:rsidP="00F47D29">
            <w:pPr>
              <w:spacing w:line="480" w:lineRule="auto"/>
              <w:rPr>
                <w:rFonts w:ascii="Times New Roman" w:hAnsi="Times New Roman" w:cs="Times New Roman"/>
                <w:sz w:val="24"/>
                <w:szCs w:val="24"/>
                <w:shd w:val="clear" w:color="auto" w:fill="FFFFFF"/>
              </w:rPr>
            </w:pPr>
            <w:r w:rsidRPr="00F47D29">
              <w:rPr>
                <w:rFonts w:ascii="Times New Roman" w:hAnsi="Times New Roman" w:cs="Times New Roman"/>
                <w:sz w:val="24"/>
                <w:szCs w:val="24"/>
                <w:shd w:val="clear" w:color="auto" w:fill="FFFFFF"/>
              </w:rPr>
              <w:t xml:space="preserve">Total Assets </w:t>
            </w:r>
          </w:p>
        </w:tc>
        <w:tc>
          <w:tcPr>
            <w:tcW w:w="1530" w:type="dxa"/>
          </w:tcPr>
          <w:p w:rsidR="00347363" w:rsidRPr="00F47D29" w:rsidRDefault="00CA39E6" w:rsidP="00F47D29">
            <w:pPr>
              <w:spacing w:line="480" w:lineRule="auto"/>
              <w:rPr>
                <w:rFonts w:ascii="Times New Roman" w:hAnsi="Times New Roman" w:cs="Times New Roman"/>
                <w:b/>
                <w:sz w:val="24"/>
                <w:szCs w:val="24"/>
                <w:shd w:val="clear" w:color="auto" w:fill="FFFFFF"/>
              </w:rPr>
            </w:pPr>
            <w:r w:rsidRPr="00F47D29">
              <w:rPr>
                <w:rFonts w:ascii="Times New Roman" w:hAnsi="Times New Roman" w:cs="Times New Roman"/>
                <w:b/>
                <w:sz w:val="24"/>
                <w:szCs w:val="24"/>
                <w:shd w:val="clear" w:color="auto" w:fill="FFFFFF"/>
              </w:rPr>
              <w:t>$2,356</w:t>
            </w:r>
          </w:p>
        </w:tc>
        <w:tc>
          <w:tcPr>
            <w:tcW w:w="1349" w:type="dxa"/>
          </w:tcPr>
          <w:p w:rsidR="00347363" w:rsidRPr="00F47D29" w:rsidRDefault="00EE6778" w:rsidP="00F47D29">
            <w:pPr>
              <w:spacing w:line="480" w:lineRule="auto"/>
              <w:rPr>
                <w:rFonts w:ascii="Times New Roman" w:hAnsi="Times New Roman" w:cs="Times New Roman"/>
                <w:sz w:val="24"/>
                <w:szCs w:val="24"/>
                <w:shd w:val="clear" w:color="auto" w:fill="FFFFFF"/>
              </w:rPr>
            </w:pPr>
            <w:r w:rsidRPr="00F47D29">
              <w:rPr>
                <w:rFonts w:ascii="Times New Roman" w:hAnsi="Times New Roman" w:cs="Times New Roman"/>
                <w:sz w:val="24"/>
                <w:szCs w:val="24"/>
                <w:shd w:val="clear" w:color="auto" w:fill="FFFFFF"/>
              </w:rPr>
              <w:t>100%</w:t>
            </w:r>
          </w:p>
        </w:tc>
        <w:tc>
          <w:tcPr>
            <w:tcW w:w="1521" w:type="dxa"/>
          </w:tcPr>
          <w:p w:rsidR="00347363" w:rsidRPr="00F47D29" w:rsidRDefault="00CA39E6" w:rsidP="00F47D29">
            <w:pPr>
              <w:spacing w:line="480" w:lineRule="auto"/>
              <w:rPr>
                <w:rFonts w:ascii="Times New Roman" w:hAnsi="Times New Roman" w:cs="Times New Roman"/>
                <w:b/>
                <w:sz w:val="24"/>
                <w:szCs w:val="24"/>
                <w:shd w:val="clear" w:color="auto" w:fill="FFFFFF"/>
              </w:rPr>
            </w:pPr>
            <w:r w:rsidRPr="00F47D29">
              <w:rPr>
                <w:rFonts w:ascii="Times New Roman" w:hAnsi="Times New Roman" w:cs="Times New Roman"/>
                <w:b/>
                <w:sz w:val="24"/>
                <w:szCs w:val="24"/>
                <w:shd w:val="clear" w:color="auto" w:fill="FFFFFF"/>
              </w:rPr>
              <w:t>$1,258.3</w:t>
            </w:r>
          </w:p>
        </w:tc>
        <w:tc>
          <w:tcPr>
            <w:tcW w:w="1530" w:type="dxa"/>
          </w:tcPr>
          <w:p w:rsidR="00347363" w:rsidRPr="00F47D29" w:rsidRDefault="00EE6778" w:rsidP="00F47D29">
            <w:pPr>
              <w:spacing w:line="480" w:lineRule="auto"/>
              <w:rPr>
                <w:rFonts w:ascii="Times New Roman" w:hAnsi="Times New Roman" w:cs="Times New Roman"/>
                <w:sz w:val="24"/>
                <w:szCs w:val="24"/>
                <w:shd w:val="clear" w:color="auto" w:fill="FFFFFF"/>
              </w:rPr>
            </w:pPr>
            <w:r w:rsidRPr="00F47D29">
              <w:rPr>
                <w:rFonts w:ascii="Times New Roman" w:hAnsi="Times New Roman" w:cs="Times New Roman"/>
                <w:sz w:val="24"/>
                <w:szCs w:val="24"/>
                <w:shd w:val="clear" w:color="auto" w:fill="FFFFFF"/>
              </w:rPr>
              <w:t>100%</w:t>
            </w:r>
          </w:p>
        </w:tc>
      </w:tr>
      <w:tr w:rsidR="00347363" w:rsidRPr="00F47D29" w:rsidTr="00A41F26">
        <w:tc>
          <w:tcPr>
            <w:tcW w:w="2362" w:type="dxa"/>
          </w:tcPr>
          <w:p w:rsidR="00347363" w:rsidRPr="00F47D29" w:rsidRDefault="00CA39E6" w:rsidP="00F47D29">
            <w:pPr>
              <w:spacing w:line="480" w:lineRule="auto"/>
              <w:rPr>
                <w:rFonts w:ascii="Times New Roman" w:hAnsi="Times New Roman" w:cs="Times New Roman"/>
                <w:sz w:val="24"/>
                <w:szCs w:val="24"/>
                <w:shd w:val="clear" w:color="auto" w:fill="FFFFFF"/>
              </w:rPr>
            </w:pPr>
            <w:r w:rsidRPr="00F47D29">
              <w:rPr>
                <w:rFonts w:ascii="Times New Roman" w:hAnsi="Times New Roman" w:cs="Times New Roman"/>
                <w:sz w:val="24"/>
                <w:szCs w:val="24"/>
                <w:shd w:val="clear" w:color="auto" w:fill="FFFFFF"/>
              </w:rPr>
              <w:t>Total Current Liabilities</w:t>
            </w:r>
          </w:p>
        </w:tc>
        <w:tc>
          <w:tcPr>
            <w:tcW w:w="1530" w:type="dxa"/>
          </w:tcPr>
          <w:p w:rsidR="00347363" w:rsidRPr="00F47D29" w:rsidRDefault="00CA39E6" w:rsidP="00F47D29">
            <w:pPr>
              <w:spacing w:line="480" w:lineRule="auto"/>
              <w:rPr>
                <w:rFonts w:ascii="Times New Roman" w:hAnsi="Times New Roman" w:cs="Times New Roman"/>
                <w:sz w:val="24"/>
                <w:szCs w:val="24"/>
                <w:shd w:val="clear" w:color="auto" w:fill="FFFFFF"/>
              </w:rPr>
            </w:pPr>
            <w:r w:rsidRPr="00F47D29">
              <w:rPr>
                <w:rFonts w:ascii="Times New Roman" w:hAnsi="Times New Roman" w:cs="Times New Roman"/>
                <w:sz w:val="24"/>
                <w:szCs w:val="24"/>
                <w:shd w:val="clear" w:color="auto" w:fill="FFFFFF"/>
              </w:rPr>
              <w:t>$497.9</w:t>
            </w:r>
          </w:p>
        </w:tc>
        <w:tc>
          <w:tcPr>
            <w:tcW w:w="1349" w:type="dxa"/>
          </w:tcPr>
          <w:p w:rsidR="00347363" w:rsidRPr="00F47D29" w:rsidRDefault="002A1829" w:rsidP="00F47D29">
            <w:pPr>
              <w:spacing w:line="480" w:lineRule="auto"/>
              <w:rPr>
                <w:rFonts w:ascii="Times New Roman" w:hAnsi="Times New Roman" w:cs="Times New Roman"/>
                <w:sz w:val="24"/>
                <w:szCs w:val="24"/>
                <w:shd w:val="clear" w:color="auto" w:fill="FFFFFF"/>
              </w:rPr>
            </w:pPr>
            <w:r w:rsidRPr="00F47D29">
              <w:rPr>
                <w:rFonts w:ascii="Times New Roman" w:hAnsi="Times New Roman" w:cs="Times New Roman"/>
                <w:sz w:val="24"/>
                <w:szCs w:val="24"/>
                <w:shd w:val="clear" w:color="auto" w:fill="FFFFFF"/>
              </w:rPr>
              <w:t>21.1%</w:t>
            </w:r>
          </w:p>
        </w:tc>
        <w:tc>
          <w:tcPr>
            <w:tcW w:w="1521" w:type="dxa"/>
          </w:tcPr>
          <w:p w:rsidR="00347363" w:rsidRPr="00F47D29" w:rsidRDefault="00CA39E6" w:rsidP="00F47D29">
            <w:pPr>
              <w:spacing w:line="480" w:lineRule="auto"/>
              <w:rPr>
                <w:rFonts w:ascii="Times New Roman" w:hAnsi="Times New Roman" w:cs="Times New Roman"/>
                <w:sz w:val="24"/>
                <w:szCs w:val="24"/>
                <w:shd w:val="clear" w:color="auto" w:fill="FFFFFF"/>
              </w:rPr>
            </w:pPr>
            <w:r w:rsidRPr="00F47D29">
              <w:rPr>
                <w:rFonts w:ascii="Times New Roman" w:hAnsi="Times New Roman" w:cs="Times New Roman"/>
                <w:sz w:val="24"/>
                <w:szCs w:val="24"/>
                <w:shd w:val="clear" w:color="auto" w:fill="FFFFFF"/>
              </w:rPr>
              <w:t>$421.6</w:t>
            </w:r>
          </w:p>
        </w:tc>
        <w:tc>
          <w:tcPr>
            <w:tcW w:w="1530" w:type="dxa"/>
          </w:tcPr>
          <w:p w:rsidR="00347363" w:rsidRPr="00F47D29" w:rsidRDefault="002A1829" w:rsidP="00F47D29">
            <w:pPr>
              <w:spacing w:line="480" w:lineRule="auto"/>
              <w:rPr>
                <w:rFonts w:ascii="Times New Roman" w:hAnsi="Times New Roman" w:cs="Times New Roman"/>
                <w:sz w:val="24"/>
                <w:szCs w:val="24"/>
                <w:shd w:val="clear" w:color="auto" w:fill="FFFFFF"/>
              </w:rPr>
            </w:pPr>
            <w:r w:rsidRPr="00F47D29">
              <w:rPr>
                <w:rFonts w:ascii="Times New Roman" w:hAnsi="Times New Roman" w:cs="Times New Roman"/>
                <w:sz w:val="24"/>
                <w:szCs w:val="24"/>
                <w:shd w:val="clear" w:color="auto" w:fill="FFFFFF"/>
              </w:rPr>
              <w:t>33.5</w:t>
            </w:r>
            <w:r w:rsidR="00EF69A3" w:rsidRPr="00F47D29">
              <w:rPr>
                <w:rFonts w:ascii="Times New Roman" w:hAnsi="Times New Roman" w:cs="Times New Roman"/>
                <w:sz w:val="24"/>
                <w:szCs w:val="24"/>
                <w:shd w:val="clear" w:color="auto" w:fill="FFFFFF"/>
              </w:rPr>
              <w:t>0</w:t>
            </w:r>
            <w:r w:rsidRPr="00F47D29">
              <w:rPr>
                <w:rFonts w:ascii="Times New Roman" w:hAnsi="Times New Roman" w:cs="Times New Roman"/>
                <w:sz w:val="24"/>
                <w:szCs w:val="24"/>
                <w:shd w:val="clear" w:color="auto" w:fill="FFFFFF"/>
              </w:rPr>
              <w:t>%</w:t>
            </w:r>
          </w:p>
        </w:tc>
      </w:tr>
      <w:tr w:rsidR="00347363" w:rsidRPr="00F47D29" w:rsidTr="00A41F26">
        <w:tc>
          <w:tcPr>
            <w:tcW w:w="2362" w:type="dxa"/>
          </w:tcPr>
          <w:p w:rsidR="00347363" w:rsidRPr="00F47D29" w:rsidRDefault="00CA39E6" w:rsidP="00F47D29">
            <w:pPr>
              <w:spacing w:line="480" w:lineRule="auto"/>
              <w:rPr>
                <w:rFonts w:ascii="Times New Roman" w:hAnsi="Times New Roman" w:cs="Times New Roman"/>
                <w:sz w:val="24"/>
                <w:szCs w:val="24"/>
                <w:shd w:val="clear" w:color="auto" w:fill="FFFFFF"/>
              </w:rPr>
            </w:pPr>
            <w:r w:rsidRPr="00F47D29">
              <w:rPr>
                <w:rFonts w:ascii="Times New Roman" w:hAnsi="Times New Roman" w:cs="Times New Roman"/>
                <w:sz w:val="24"/>
                <w:szCs w:val="24"/>
                <w:shd w:val="clear" w:color="auto" w:fill="FFFFFF"/>
              </w:rPr>
              <w:t>Long Term Debt</w:t>
            </w:r>
          </w:p>
        </w:tc>
        <w:tc>
          <w:tcPr>
            <w:tcW w:w="1530" w:type="dxa"/>
          </w:tcPr>
          <w:p w:rsidR="00347363" w:rsidRPr="00F47D29" w:rsidRDefault="00CA39E6" w:rsidP="00F47D29">
            <w:pPr>
              <w:spacing w:line="480" w:lineRule="auto"/>
              <w:rPr>
                <w:rFonts w:ascii="Times New Roman" w:hAnsi="Times New Roman" w:cs="Times New Roman"/>
                <w:sz w:val="24"/>
                <w:szCs w:val="24"/>
                <w:shd w:val="clear" w:color="auto" w:fill="FFFFFF"/>
              </w:rPr>
            </w:pPr>
            <w:r w:rsidRPr="00F47D29">
              <w:rPr>
                <w:rFonts w:ascii="Times New Roman" w:hAnsi="Times New Roman" w:cs="Times New Roman"/>
                <w:sz w:val="24"/>
                <w:szCs w:val="24"/>
                <w:shd w:val="clear" w:color="auto" w:fill="FFFFFF"/>
              </w:rPr>
              <w:t>$1,208.5</w:t>
            </w:r>
          </w:p>
        </w:tc>
        <w:tc>
          <w:tcPr>
            <w:tcW w:w="1349" w:type="dxa"/>
          </w:tcPr>
          <w:p w:rsidR="00347363" w:rsidRPr="00F47D29" w:rsidRDefault="002A1829" w:rsidP="00F47D29">
            <w:pPr>
              <w:spacing w:line="480" w:lineRule="auto"/>
              <w:rPr>
                <w:rFonts w:ascii="Times New Roman" w:hAnsi="Times New Roman" w:cs="Times New Roman"/>
                <w:sz w:val="24"/>
                <w:szCs w:val="24"/>
                <w:shd w:val="clear" w:color="auto" w:fill="FFFFFF"/>
              </w:rPr>
            </w:pPr>
            <w:r w:rsidRPr="00F47D29">
              <w:rPr>
                <w:rFonts w:ascii="Times New Roman" w:hAnsi="Times New Roman" w:cs="Times New Roman"/>
                <w:sz w:val="24"/>
                <w:szCs w:val="24"/>
                <w:shd w:val="clear" w:color="auto" w:fill="FFFFFF"/>
              </w:rPr>
              <w:t>51.3%</w:t>
            </w:r>
          </w:p>
        </w:tc>
        <w:tc>
          <w:tcPr>
            <w:tcW w:w="1521" w:type="dxa"/>
          </w:tcPr>
          <w:p w:rsidR="00347363" w:rsidRPr="00F47D29" w:rsidRDefault="00CA39E6" w:rsidP="00F47D29">
            <w:pPr>
              <w:spacing w:line="480" w:lineRule="auto"/>
              <w:rPr>
                <w:rFonts w:ascii="Times New Roman" w:hAnsi="Times New Roman" w:cs="Times New Roman"/>
                <w:sz w:val="24"/>
                <w:szCs w:val="24"/>
                <w:shd w:val="clear" w:color="auto" w:fill="FFFFFF"/>
              </w:rPr>
            </w:pPr>
            <w:r w:rsidRPr="00F47D29">
              <w:rPr>
                <w:rFonts w:ascii="Times New Roman" w:hAnsi="Times New Roman" w:cs="Times New Roman"/>
                <w:sz w:val="24"/>
                <w:szCs w:val="24"/>
                <w:shd w:val="clear" w:color="auto" w:fill="FFFFFF"/>
              </w:rPr>
              <w:t>$1,206.6</w:t>
            </w:r>
          </w:p>
        </w:tc>
        <w:tc>
          <w:tcPr>
            <w:tcW w:w="1530" w:type="dxa"/>
          </w:tcPr>
          <w:p w:rsidR="00347363" w:rsidRPr="00F47D29" w:rsidRDefault="00EF69A3" w:rsidP="00F47D29">
            <w:pPr>
              <w:spacing w:line="480" w:lineRule="auto"/>
              <w:rPr>
                <w:rFonts w:ascii="Times New Roman" w:hAnsi="Times New Roman" w:cs="Times New Roman"/>
                <w:sz w:val="24"/>
                <w:szCs w:val="24"/>
                <w:shd w:val="clear" w:color="auto" w:fill="FFFFFF"/>
              </w:rPr>
            </w:pPr>
            <w:r w:rsidRPr="00F47D29">
              <w:rPr>
                <w:rFonts w:ascii="Times New Roman" w:hAnsi="Times New Roman" w:cs="Times New Roman"/>
                <w:sz w:val="24"/>
                <w:szCs w:val="24"/>
                <w:shd w:val="clear" w:color="auto" w:fill="FFFFFF"/>
              </w:rPr>
              <w:t>51.20%</w:t>
            </w:r>
          </w:p>
        </w:tc>
      </w:tr>
      <w:tr w:rsidR="00347363" w:rsidRPr="00F47D29" w:rsidTr="00A41F26">
        <w:tc>
          <w:tcPr>
            <w:tcW w:w="2362" w:type="dxa"/>
          </w:tcPr>
          <w:p w:rsidR="00347363" w:rsidRPr="00F47D29" w:rsidRDefault="00CA39E6" w:rsidP="00F47D29">
            <w:pPr>
              <w:spacing w:line="480" w:lineRule="auto"/>
              <w:rPr>
                <w:rFonts w:ascii="Times New Roman" w:hAnsi="Times New Roman" w:cs="Times New Roman"/>
                <w:sz w:val="24"/>
                <w:szCs w:val="24"/>
                <w:shd w:val="clear" w:color="auto" w:fill="FFFFFF"/>
              </w:rPr>
            </w:pPr>
            <w:r w:rsidRPr="00F47D29">
              <w:rPr>
                <w:rFonts w:ascii="Times New Roman" w:hAnsi="Times New Roman" w:cs="Times New Roman"/>
                <w:sz w:val="24"/>
                <w:szCs w:val="24"/>
                <w:shd w:val="clear" w:color="auto" w:fill="FFFFFF"/>
              </w:rPr>
              <w:t>Other Non-Current Liabilities</w:t>
            </w:r>
          </w:p>
        </w:tc>
        <w:tc>
          <w:tcPr>
            <w:tcW w:w="1530" w:type="dxa"/>
          </w:tcPr>
          <w:p w:rsidR="00347363" w:rsidRPr="00F47D29" w:rsidRDefault="00CA39E6" w:rsidP="00F47D29">
            <w:pPr>
              <w:spacing w:line="480" w:lineRule="auto"/>
              <w:rPr>
                <w:rFonts w:ascii="Times New Roman" w:hAnsi="Times New Roman" w:cs="Times New Roman"/>
                <w:sz w:val="24"/>
                <w:szCs w:val="24"/>
                <w:shd w:val="clear" w:color="auto" w:fill="FFFFFF"/>
              </w:rPr>
            </w:pPr>
            <w:r w:rsidRPr="00F47D29">
              <w:rPr>
                <w:rFonts w:ascii="Times New Roman" w:hAnsi="Times New Roman" w:cs="Times New Roman"/>
                <w:sz w:val="24"/>
                <w:szCs w:val="24"/>
                <w:shd w:val="clear" w:color="auto" w:fill="FFFFFF"/>
              </w:rPr>
              <w:t>$67.1</w:t>
            </w:r>
          </w:p>
        </w:tc>
        <w:tc>
          <w:tcPr>
            <w:tcW w:w="1349" w:type="dxa"/>
          </w:tcPr>
          <w:p w:rsidR="00347363" w:rsidRPr="00F47D29" w:rsidRDefault="00EF69A3" w:rsidP="00F47D29">
            <w:pPr>
              <w:spacing w:line="480" w:lineRule="auto"/>
              <w:rPr>
                <w:rFonts w:ascii="Times New Roman" w:hAnsi="Times New Roman" w:cs="Times New Roman"/>
                <w:sz w:val="24"/>
                <w:szCs w:val="24"/>
                <w:shd w:val="clear" w:color="auto" w:fill="FFFFFF"/>
              </w:rPr>
            </w:pPr>
            <w:r w:rsidRPr="00F47D29">
              <w:rPr>
                <w:rFonts w:ascii="Times New Roman" w:hAnsi="Times New Roman" w:cs="Times New Roman"/>
                <w:sz w:val="24"/>
                <w:szCs w:val="24"/>
                <w:shd w:val="clear" w:color="auto" w:fill="FFFFFF"/>
              </w:rPr>
              <w:t>2.85%</w:t>
            </w:r>
          </w:p>
        </w:tc>
        <w:tc>
          <w:tcPr>
            <w:tcW w:w="1521" w:type="dxa"/>
          </w:tcPr>
          <w:p w:rsidR="00347363" w:rsidRPr="00F47D29" w:rsidRDefault="00CA39E6" w:rsidP="00F47D29">
            <w:pPr>
              <w:spacing w:line="480" w:lineRule="auto"/>
              <w:rPr>
                <w:rFonts w:ascii="Times New Roman" w:hAnsi="Times New Roman" w:cs="Times New Roman"/>
                <w:sz w:val="24"/>
                <w:szCs w:val="24"/>
                <w:shd w:val="clear" w:color="auto" w:fill="FFFFFF"/>
              </w:rPr>
            </w:pPr>
            <w:r w:rsidRPr="00F47D29">
              <w:rPr>
                <w:rFonts w:ascii="Times New Roman" w:hAnsi="Times New Roman" w:cs="Times New Roman"/>
                <w:sz w:val="24"/>
                <w:szCs w:val="24"/>
                <w:shd w:val="clear" w:color="auto" w:fill="FFFFFF"/>
              </w:rPr>
              <w:t>$153</w:t>
            </w:r>
          </w:p>
        </w:tc>
        <w:tc>
          <w:tcPr>
            <w:tcW w:w="1530" w:type="dxa"/>
          </w:tcPr>
          <w:p w:rsidR="00347363" w:rsidRPr="00F47D29" w:rsidRDefault="00EF69A3" w:rsidP="00F47D29">
            <w:pPr>
              <w:spacing w:line="480" w:lineRule="auto"/>
              <w:rPr>
                <w:rFonts w:ascii="Times New Roman" w:hAnsi="Times New Roman" w:cs="Times New Roman"/>
                <w:sz w:val="24"/>
                <w:szCs w:val="24"/>
                <w:shd w:val="clear" w:color="auto" w:fill="FFFFFF"/>
              </w:rPr>
            </w:pPr>
            <w:r w:rsidRPr="00F47D29">
              <w:rPr>
                <w:rFonts w:ascii="Times New Roman" w:hAnsi="Times New Roman" w:cs="Times New Roman"/>
                <w:sz w:val="24"/>
                <w:szCs w:val="24"/>
                <w:shd w:val="clear" w:color="auto" w:fill="FFFFFF"/>
              </w:rPr>
              <w:t>12.10%</w:t>
            </w:r>
          </w:p>
        </w:tc>
      </w:tr>
      <w:tr w:rsidR="00347363" w:rsidRPr="00F47D29" w:rsidTr="00A41F26">
        <w:tc>
          <w:tcPr>
            <w:tcW w:w="2362" w:type="dxa"/>
          </w:tcPr>
          <w:p w:rsidR="00347363" w:rsidRPr="00F47D29" w:rsidRDefault="00CA39E6" w:rsidP="00F47D29">
            <w:pPr>
              <w:spacing w:line="480" w:lineRule="auto"/>
              <w:rPr>
                <w:rFonts w:ascii="Times New Roman" w:hAnsi="Times New Roman" w:cs="Times New Roman"/>
                <w:sz w:val="24"/>
                <w:szCs w:val="24"/>
                <w:shd w:val="clear" w:color="auto" w:fill="FFFFFF"/>
              </w:rPr>
            </w:pPr>
            <w:r w:rsidRPr="00F47D29">
              <w:rPr>
                <w:rFonts w:ascii="Times New Roman" w:hAnsi="Times New Roman" w:cs="Times New Roman"/>
                <w:sz w:val="24"/>
                <w:szCs w:val="24"/>
                <w:shd w:val="clear" w:color="auto" w:fill="FFFFFF"/>
              </w:rPr>
              <w:t xml:space="preserve">Total Long- Term Liabilities </w:t>
            </w:r>
          </w:p>
        </w:tc>
        <w:tc>
          <w:tcPr>
            <w:tcW w:w="1530" w:type="dxa"/>
          </w:tcPr>
          <w:p w:rsidR="00347363" w:rsidRPr="00F47D29" w:rsidRDefault="00CA39E6" w:rsidP="00F47D29">
            <w:pPr>
              <w:spacing w:line="480" w:lineRule="auto"/>
              <w:rPr>
                <w:rFonts w:ascii="Times New Roman" w:hAnsi="Times New Roman" w:cs="Times New Roman"/>
                <w:sz w:val="24"/>
                <w:szCs w:val="24"/>
                <w:shd w:val="clear" w:color="auto" w:fill="FFFFFF"/>
              </w:rPr>
            </w:pPr>
            <w:r w:rsidRPr="00F47D29">
              <w:rPr>
                <w:rFonts w:ascii="Times New Roman" w:hAnsi="Times New Roman" w:cs="Times New Roman"/>
                <w:sz w:val="24"/>
                <w:szCs w:val="24"/>
                <w:shd w:val="clear" w:color="auto" w:fill="FFFFFF"/>
              </w:rPr>
              <w:t>$</w:t>
            </w:r>
            <w:r w:rsidR="00F013AC" w:rsidRPr="00F47D29">
              <w:rPr>
                <w:rFonts w:ascii="Times New Roman" w:hAnsi="Times New Roman" w:cs="Times New Roman"/>
                <w:sz w:val="24"/>
                <w:szCs w:val="24"/>
                <w:shd w:val="clear" w:color="auto" w:fill="FFFFFF"/>
              </w:rPr>
              <w:t>2,337.2</w:t>
            </w:r>
          </w:p>
        </w:tc>
        <w:tc>
          <w:tcPr>
            <w:tcW w:w="1349" w:type="dxa"/>
          </w:tcPr>
          <w:p w:rsidR="00347363" w:rsidRPr="00F47D29" w:rsidRDefault="00394D1B" w:rsidP="00F47D29">
            <w:pPr>
              <w:spacing w:line="480" w:lineRule="auto"/>
              <w:rPr>
                <w:rFonts w:ascii="Times New Roman" w:hAnsi="Times New Roman" w:cs="Times New Roman"/>
                <w:sz w:val="24"/>
                <w:szCs w:val="24"/>
                <w:shd w:val="clear" w:color="auto" w:fill="FFFFFF"/>
              </w:rPr>
            </w:pPr>
            <w:r w:rsidRPr="00F47D29">
              <w:rPr>
                <w:rFonts w:ascii="Times New Roman" w:hAnsi="Times New Roman" w:cs="Times New Roman"/>
                <w:sz w:val="24"/>
                <w:szCs w:val="24"/>
                <w:shd w:val="clear" w:color="auto" w:fill="FFFFFF"/>
              </w:rPr>
              <w:t>99.20%</w:t>
            </w:r>
          </w:p>
        </w:tc>
        <w:tc>
          <w:tcPr>
            <w:tcW w:w="1521" w:type="dxa"/>
          </w:tcPr>
          <w:p w:rsidR="00347363" w:rsidRPr="00F47D29" w:rsidRDefault="00F013AC" w:rsidP="00F47D29">
            <w:pPr>
              <w:spacing w:line="480" w:lineRule="auto"/>
              <w:rPr>
                <w:rFonts w:ascii="Times New Roman" w:hAnsi="Times New Roman" w:cs="Times New Roman"/>
                <w:sz w:val="24"/>
                <w:szCs w:val="24"/>
                <w:shd w:val="clear" w:color="auto" w:fill="FFFFFF"/>
              </w:rPr>
            </w:pPr>
            <w:r w:rsidRPr="00F47D29">
              <w:rPr>
                <w:rFonts w:ascii="Times New Roman" w:hAnsi="Times New Roman" w:cs="Times New Roman"/>
                <w:sz w:val="24"/>
                <w:szCs w:val="24"/>
                <w:shd w:val="clear" w:color="auto" w:fill="FFFFFF"/>
              </w:rPr>
              <w:t>$1,614.9</w:t>
            </w:r>
          </w:p>
        </w:tc>
        <w:tc>
          <w:tcPr>
            <w:tcW w:w="1530" w:type="dxa"/>
          </w:tcPr>
          <w:p w:rsidR="00347363" w:rsidRPr="00F47D29" w:rsidRDefault="00394D1B" w:rsidP="00F47D29">
            <w:pPr>
              <w:spacing w:line="480" w:lineRule="auto"/>
              <w:rPr>
                <w:rFonts w:ascii="Times New Roman" w:hAnsi="Times New Roman" w:cs="Times New Roman"/>
                <w:sz w:val="24"/>
                <w:szCs w:val="24"/>
                <w:shd w:val="clear" w:color="auto" w:fill="FFFFFF"/>
              </w:rPr>
            </w:pPr>
            <w:r w:rsidRPr="00F47D29">
              <w:rPr>
                <w:rFonts w:ascii="Times New Roman" w:hAnsi="Times New Roman" w:cs="Times New Roman"/>
                <w:sz w:val="24"/>
                <w:szCs w:val="24"/>
                <w:shd w:val="clear" w:color="auto" w:fill="FFFFFF"/>
              </w:rPr>
              <w:t>128.34%</w:t>
            </w:r>
          </w:p>
        </w:tc>
      </w:tr>
      <w:tr w:rsidR="00347363" w:rsidRPr="00F47D29" w:rsidTr="00A41F26">
        <w:tc>
          <w:tcPr>
            <w:tcW w:w="2362" w:type="dxa"/>
          </w:tcPr>
          <w:p w:rsidR="00347363" w:rsidRPr="00F47D29" w:rsidRDefault="00856066" w:rsidP="00F47D29">
            <w:pPr>
              <w:spacing w:line="480" w:lineRule="auto"/>
              <w:rPr>
                <w:rFonts w:ascii="Times New Roman" w:hAnsi="Times New Roman" w:cs="Times New Roman"/>
                <w:sz w:val="24"/>
                <w:szCs w:val="24"/>
                <w:shd w:val="clear" w:color="auto" w:fill="FFFFFF"/>
              </w:rPr>
            </w:pPr>
            <w:r w:rsidRPr="00F47D29">
              <w:rPr>
                <w:rFonts w:ascii="Times New Roman" w:hAnsi="Times New Roman" w:cs="Times New Roman"/>
                <w:sz w:val="24"/>
                <w:szCs w:val="24"/>
                <w:shd w:val="clear" w:color="auto" w:fill="FFFFFF"/>
              </w:rPr>
              <w:lastRenderedPageBreak/>
              <w:t xml:space="preserve">Total </w:t>
            </w:r>
            <w:r w:rsidR="00A61430" w:rsidRPr="00F47D29">
              <w:rPr>
                <w:rFonts w:ascii="Times New Roman" w:hAnsi="Times New Roman" w:cs="Times New Roman"/>
                <w:sz w:val="24"/>
                <w:szCs w:val="24"/>
                <w:shd w:val="clear" w:color="auto" w:fill="FFFFFF"/>
              </w:rPr>
              <w:t>Liabilities</w:t>
            </w:r>
            <w:r w:rsidRPr="00F47D29">
              <w:rPr>
                <w:rFonts w:ascii="Times New Roman" w:hAnsi="Times New Roman" w:cs="Times New Roman"/>
                <w:sz w:val="24"/>
                <w:szCs w:val="24"/>
                <w:shd w:val="clear" w:color="auto" w:fill="FFFFFF"/>
              </w:rPr>
              <w:t xml:space="preserve"> </w:t>
            </w:r>
          </w:p>
        </w:tc>
        <w:tc>
          <w:tcPr>
            <w:tcW w:w="1530" w:type="dxa"/>
          </w:tcPr>
          <w:p w:rsidR="00347363" w:rsidRPr="00F47D29" w:rsidRDefault="00CA39E6" w:rsidP="00F47D29">
            <w:pPr>
              <w:spacing w:line="480" w:lineRule="auto"/>
              <w:rPr>
                <w:rFonts w:ascii="Times New Roman" w:hAnsi="Times New Roman" w:cs="Times New Roman"/>
                <w:sz w:val="24"/>
                <w:szCs w:val="24"/>
                <w:shd w:val="clear" w:color="auto" w:fill="FFFFFF"/>
              </w:rPr>
            </w:pPr>
            <w:r w:rsidRPr="00F47D29">
              <w:rPr>
                <w:rFonts w:ascii="Times New Roman" w:hAnsi="Times New Roman" w:cs="Times New Roman"/>
                <w:b/>
                <w:sz w:val="24"/>
                <w:szCs w:val="24"/>
                <w:shd w:val="clear" w:color="auto" w:fill="FFFFFF"/>
              </w:rPr>
              <w:t>$2,835.1</w:t>
            </w:r>
          </w:p>
        </w:tc>
        <w:tc>
          <w:tcPr>
            <w:tcW w:w="1349" w:type="dxa"/>
          </w:tcPr>
          <w:p w:rsidR="00347363" w:rsidRPr="00F47D29" w:rsidRDefault="00D8406B" w:rsidP="00F47D29">
            <w:pPr>
              <w:spacing w:line="480" w:lineRule="auto"/>
              <w:rPr>
                <w:rFonts w:ascii="Times New Roman" w:hAnsi="Times New Roman" w:cs="Times New Roman"/>
                <w:sz w:val="24"/>
                <w:szCs w:val="24"/>
                <w:shd w:val="clear" w:color="auto" w:fill="FFFFFF"/>
              </w:rPr>
            </w:pPr>
            <w:r w:rsidRPr="00F47D29">
              <w:rPr>
                <w:rFonts w:ascii="Times New Roman" w:hAnsi="Times New Roman" w:cs="Times New Roman"/>
                <w:sz w:val="24"/>
                <w:szCs w:val="24"/>
                <w:shd w:val="clear" w:color="auto" w:fill="FFFFFF"/>
              </w:rPr>
              <w:t>120.34%</w:t>
            </w:r>
          </w:p>
        </w:tc>
        <w:tc>
          <w:tcPr>
            <w:tcW w:w="1521" w:type="dxa"/>
          </w:tcPr>
          <w:p w:rsidR="00347363" w:rsidRPr="00F47D29" w:rsidRDefault="00CA39E6" w:rsidP="00F47D29">
            <w:pPr>
              <w:spacing w:line="480" w:lineRule="auto"/>
              <w:rPr>
                <w:rFonts w:ascii="Times New Roman" w:hAnsi="Times New Roman" w:cs="Times New Roman"/>
                <w:sz w:val="24"/>
                <w:szCs w:val="24"/>
                <w:shd w:val="clear" w:color="auto" w:fill="FFFFFF"/>
              </w:rPr>
            </w:pPr>
            <w:r w:rsidRPr="00F47D29">
              <w:rPr>
                <w:rFonts w:ascii="Times New Roman" w:hAnsi="Times New Roman" w:cs="Times New Roman"/>
                <w:b/>
                <w:sz w:val="24"/>
                <w:szCs w:val="24"/>
                <w:shd w:val="clear" w:color="auto" w:fill="FFFFFF"/>
              </w:rPr>
              <w:t>$2,036.5</w:t>
            </w:r>
          </w:p>
        </w:tc>
        <w:tc>
          <w:tcPr>
            <w:tcW w:w="1530" w:type="dxa"/>
          </w:tcPr>
          <w:p w:rsidR="00347363" w:rsidRPr="00F47D29" w:rsidRDefault="00D8406B" w:rsidP="00F47D29">
            <w:pPr>
              <w:spacing w:line="480" w:lineRule="auto"/>
              <w:rPr>
                <w:rFonts w:ascii="Times New Roman" w:hAnsi="Times New Roman" w:cs="Times New Roman"/>
                <w:sz w:val="24"/>
                <w:szCs w:val="24"/>
                <w:shd w:val="clear" w:color="auto" w:fill="FFFFFF"/>
              </w:rPr>
            </w:pPr>
            <w:r w:rsidRPr="00F47D29">
              <w:rPr>
                <w:rFonts w:ascii="Times New Roman" w:hAnsi="Times New Roman" w:cs="Times New Roman"/>
                <w:sz w:val="24"/>
                <w:szCs w:val="24"/>
                <w:shd w:val="clear" w:color="auto" w:fill="FFFFFF"/>
              </w:rPr>
              <w:t>161.84%</w:t>
            </w:r>
          </w:p>
        </w:tc>
      </w:tr>
      <w:tr w:rsidR="00347363" w:rsidRPr="00F47D29" w:rsidTr="00A41F26">
        <w:tc>
          <w:tcPr>
            <w:tcW w:w="2362" w:type="dxa"/>
          </w:tcPr>
          <w:p w:rsidR="00347363" w:rsidRPr="00F47D29" w:rsidRDefault="0098243C" w:rsidP="00F47D29">
            <w:pPr>
              <w:spacing w:line="480" w:lineRule="auto"/>
              <w:rPr>
                <w:rFonts w:ascii="Times New Roman" w:hAnsi="Times New Roman" w:cs="Times New Roman"/>
                <w:sz w:val="24"/>
                <w:szCs w:val="24"/>
                <w:shd w:val="clear" w:color="auto" w:fill="FFFFFF"/>
              </w:rPr>
            </w:pPr>
            <w:r w:rsidRPr="00F47D29">
              <w:rPr>
                <w:rFonts w:ascii="Times New Roman" w:hAnsi="Times New Roman" w:cs="Times New Roman"/>
                <w:sz w:val="24"/>
                <w:szCs w:val="24"/>
                <w:shd w:val="clear" w:color="auto" w:fill="FFFFFF"/>
              </w:rPr>
              <w:t>Common Stock Net</w:t>
            </w:r>
          </w:p>
        </w:tc>
        <w:tc>
          <w:tcPr>
            <w:tcW w:w="1530" w:type="dxa"/>
          </w:tcPr>
          <w:p w:rsidR="00347363" w:rsidRPr="00F47D29" w:rsidRDefault="0098243C" w:rsidP="00F47D29">
            <w:pPr>
              <w:spacing w:line="480" w:lineRule="auto"/>
              <w:rPr>
                <w:rFonts w:ascii="Times New Roman" w:hAnsi="Times New Roman" w:cs="Times New Roman"/>
                <w:sz w:val="24"/>
                <w:szCs w:val="24"/>
                <w:shd w:val="clear" w:color="auto" w:fill="FFFFFF"/>
              </w:rPr>
            </w:pPr>
            <w:r w:rsidRPr="00F47D29">
              <w:rPr>
                <w:rFonts w:ascii="Times New Roman" w:hAnsi="Times New Roman" w:cs="Times New Roman"/>
                <w:sz w:val="24"/>
                <w:szCs w:val="24"/>
                <w:shd w:val="clear" w:color="auto" w:fill="FFFFFF"/>
              </w:rPr>
              <w:t>$7</w:t>
            </w:r>
          </w:p>
        </w:tc>
        <w:tc>
          <w:tcPr>
            <w:tcW w:w="1349" w:type="dxa"/>
          </w:tcPr>
          <w:p w:rsidR="00347363" w:rsidRPr="00F47D29" w:rsidRDefault="00D8406B" w:rsidP="00F47D29">
            <w:pPr>
              <w:spacing w:line="480" w:lineRule="auto"/>
              <w:rPr>
                <w:rFonts w:ascii="Times New Roman" w:hAnsi="Times New Roman" w:cs="Times New Roman"/>
                <w:sz w:val="24"/>
                <w:szCs w:val="24"/>
                <w:shd w:val="clear" w:color="auto" w:fill="FFFFFF"/>
              </w:rPr>
            </w:pPr>
            <w:r w:rsidRPr="00F47D29">
              <w:rPr>
                <w:rFonts w:ascii="Times New Roman" w:hAnsi="Times New Roman" w:cs="Times New Roman"/>
                <w:sz w:val="24"/>
                <w:szCs w:val="24"/>
                <w:shd w:val="clear" w:color="auto" w:fill="FFFFFF"/>
              </w:rPr>
              <w:t>0.30%</w:t>
            </w:r>
          </w:p>
        </w:tc>
        <w:tc>
          <w:tcPr>
            <w:tcW w:w="1521" w:type="dxa"/>
          </w:tcPr>
          <w:p w:rsidR="00347363" w:rsidRPr="00F47D29" w:rsidRDefault="0098243C" w:rsidP="00F47D29">
            <w:pPr>
              <w:spacing w:line="480" w:lineRule="auto"/>
              <w:rPr>
                <w:rFonts w:ascii="Times New Roman" w:hAnsi="Times New Roman" w:cs="Times New Roman"/>
                <w:sz w:val="24"/>
                <w:szCs w:val="24"/>
                <w:shd w:val="clear" w:color="auto" w:fill="FFFFFF"/>
              </w:rPr>
            </w:pPr>
            <w:r w:rsidRPr="00F47D29">
              <w:rPr>
                <w:rFonts w:ascii="Times New Roman" w:hAnsi="Times New Roman" w:cs="Times New Roman"/>
                <w:sz w:val="24"/>
                <w:szCs w:val="24"/>
                <w:shd w:val="clear" w:color="auto" w:fill="FFFFFF"/>
              </w:rPr>
              <w:t>$17.6</w:t>
            </w:r>
          </w:p>
        </w:tc>
        <w:tc>
          <w:tcPr>
            <w:tcW w:w="1530" w:type="dxa"/>
          </w:tcPr>
          <w:p w:rsidR="00347363" w:rsidRPr="00F47D29" w:rsidRDefault="00D8406B" w:rsidP="00F47D29">
            <w:pPr>
              <w:spacing w:line="480" w:lineRule="auto"/>
              <w:rPr>
                <w:rFonts w:ascii="Times New Roman" w:hAnsi="Times New Roman" w:cs="Times New Roman"/>
                <w:sz w:val="24"/>
                <w:szCs w:val="24"/>
                <w:shd w:val="clear" w:color="auto" w:fill="FFFFFF"/>
              </w:rPr>
            </w:pPr>
            <w:r w:rsidRPr="00F47D29">
              <w:rPr>
                <w:rFonts w:ascii="Times New Roman" w:hAnsi="Times New Roman" w:cs="Times New Roman"/>
                <w:sz w:val="24"/>
                <w:szCs w:val="24"/>
                <w:shd w:val="clear" w:color="auto" w:fill="FFFFFF"/>
              </w:rPr>
              <w:t>1.40%</w:t>
            </w:r>
          </w:p>
        </w:tc>
      </w:tr>
      <w:tr w:rsidR="00347363" w:rsidRPr="00F47D29" w:rsidTr="00A41F26">
        <w:tc>
          <w:tcPr>
            <w:tcW w:w="2362" w:type="dxa"/>
          </w:tcPr>
          <w:p w:rsidR="00347363" w:rsidRPr="00F47D29" w:rsidRDefault="0098243C" w:rsidP="00F47D29">
            <w:pPr>
              <w:spacing w:line="480" w:lineRule="auto"/>
              <w:rPr>
                <w:rFonts w:ascii="Times New Roman" w:hAnsi="Times New Roman" w:cs="Times New Roman"/>
                <w:sz w:val="24"/>
                <w:szCs w:val="24"/>
                <w:shd w:val="clear" w:color="auto" w:fill="FFFFFF"/>
              </w:rPr>
            </w:pPr>
            <w:r w:rsidRPr="00F47D29">
              <w:rPr>
                <w:rFonts w:ascii="Times New Roman" w:hAnsi="Times New Roman" w:cs="Times New Roman"/>
                <w:sz w:val="24"/>
                <w:szCs w:val="24"/>
                <w:shd w:val="clear" w:color="auto" w:fill="FFFFFF"/>
              </w:rPr>
              <w:t>Retained Earnings(accumulated Deficit)</w:t>
            </w:r>
          </w:p>
        </w:tc>
        <w:tc>
          <w:tcPr>
            <w:tcW w:w="1530" w:type="dxa"/>
          </w:tcPr>
          <w:p w:rsidR="00347363" w:rsidRPr="00F47D29" w:rsidRDefault="0098243C" w:rsidP="00F47D29">
            <w:pPr>
              <w:spacing w:line="480" w:lineRule="auto"/>
              <w:rPr>
                <w:rFonts w:ascii="Times New Roman" w:hAnsi="Times New Roman" w:cs="Times New Roman"/>
                <w:sz w:val="24"/>
                <w:szCs w:val="24"/>
                <w:shd w:val="clear" w:color="auto" w:fill="FFFFFF"/>
              </w:rPr>
            </w:pPr>
            <w:r w:rsidRPr="00F47D29">
              <w:rPr>
                <w:rFonts w:ascii="Times New Roman" w:hAnsi="Times New Roman" w:cs="Times New Roman"/>
                <w:sz w:val="24"/>
                <w:szCs w:val="24"/>
                <w:shd w:val="clear" w:color="auto" w:fill="FFFFFF"/>
              </w:rPr>
              <w:t>($397.5)</w:t>
            </w:r>
          </w:p>
        </w:tc>
        <w:tc>
          <w:tcPr>
            <w:tcW w:w="1349" w:type="dxa"/>
          </w:tcPr>
          <w:p w:rsidR="00347363" w:rsidRPr="00F47D29" w:rsidRDefault="00D8406B" w:rsidP="00F47D29">
            <w:pPr>
              <w:spacing w:line="480" w:lineRule="auto"/>
              <w:rPr>
                <w:rFonts w:ascii="Times New Roman" w:hAnsi="Times New Roman" w:cs="Times New Roman"/>
                <w:sz w:val="24"/>
                <w:szCs w:val="24"/>
                <w:shd w:val="clear" w:color="auto" w:fill="FFFFFF"/>
              </w:rPr>
            </w:pPr>
            <w:r w:rsidRPr="00F47D29">
              <w:rPr>
                <w:rFonts w:ascii="Times New Roman" w:hAnsi="Times New Roman" w:cs="Times New Roman"/>
                <w:sz w:val="24"/>
                <w:szCs w:val="24"/>
                <w:shd w:val="clear" w:color="auto" w:fill="FFFFFF"/>
              </w:rPr>
              <w:t>-16.87%</w:t>
            </w:r>
          </w:p>
        </w:tc>
        <w:tc>
          <w:tcPr>
            <w:tcW w:w="1521" w:type="dxa"/>
          </w:tcPr>
          <w:p w:rsidR="00347363" w:rsidRPr="00F47D29" w:rsidRDefault="00D8406B" w:rsidP="00F47D29">
            <w:pPr>
              <w:spacing w:line="480" w:lineRule="auto"/>
              <w:rPr>
                <w:rFonts w:ascii="Times New Roman" w:hAnsi="Times New Roman" w:cs="Times New Roman"/>
                <w:sz w:val="24"/>
                <w:szCs w:val="24"/>
                <w:shd w:val="clear" w:color="auto" w:fill="FFFFFF"/>
              </w:rPr>
            </w:pPr>
            <w:r w:rsidRPr="00F47D29">
              <w:rPr>
                <w:rFonts w:ascii="Times New Roman" w:hAnsi="Times New Roman" w:cs="Times New Roman"/>
                <w:sz w:val="24"/>
                <w:szCs w:val="24"/>
                <w:shd w:val="clear" w:color="auto" w:fill="FFFFFF"/>
              </w:rPr>
              <w:t>(</w:t>
            </w:r>
            <w:r w:rsidR="0098243C" w:rsidRPr="00F47D29">
              <w:rPr>
                <w:rFonts w:ascii="Times New Roman" w:hAnsi="Times New Roman" w:cs="Times New Roman"/>
                <w:sz w:val="24"/>
                <w:szCs w:val="24"/>
                <w:shd w:val="clear" w:color="auto" w:fill="FFFFFF"/>
              </w:rPr>
              <w:t>$2,771.2</w:t>
            </w:r>
            <w:r w:rsidRPr="00F47D29">
              <w:rPr>
                <w:rFonts w:ascii="Times New Roman" w:hAnsi="Times New Roman" w:cs="Times New Roman"/>
                <w:sz w:val="24"/>
                <w:szCs w:val="24"/>
                <w:shd w:val="clear" w:color="auto" w:fill="FFFFFF"/>
              </w:rPr>
              <w:t>)</w:t>
            </w:r>
          </w:p>
        </w:tc>
        <w:tc>
          <w:tcPr>
            <w:tcW w:w="1530" w:type="dxa"/>
          </w:tcPr>
          <w:p w:rsidR="00347363" w:rsidRPr="00F47D29" w:rsidRDefault="00D8406B" w:rsidP="00F47D29">
            <w:pPr>
              <w:spacing w:line="480" w:lineRule="auto"/>
              <w:rPr>
                <w:rFonts w:ascii="Times New Roman" w:hAnsi="Times New Roman" w:cs="Times New Roman"/>
                <w:sz w:val="24"/>
                <w:szCs w:val="24"/>
                <w:shd w:val="clear" w:color="auto" w:fill="FFFFFF"/>
              </w:rPr>
            </w:pPr>
            <w:r w:rsidRPr="00F47D29">
              <w:rPr>
                <w:rFonts w:ascii="Times New Roman" w:hAnsi="Times New Roman" w:cs="Times New Roman"/>
                <w:sz w:val="24"/>
                <w:szCs w:val="24"/>
                <w:shd w:val="clear" w:color="auto" w:fill="FFFFFF"/>
              </w:rPr>
              <w:t>-220.2%</w:t>
            </w:r>
          </w:p>
        </w:tc>
      </w:tr>
      <w:tr w:rsidR="00347363" w:rsidRPr="00F47D29" w:rsidTr="00A41F26">
        <w:tc>
          <w:tcPr>
            <w:tcW w:w="2362" w:type="dxa"/>
          </w:tcPr>
          <w:p w:rsidR="00347363" w:rsidRPr="00F47D29" w:rsidRDefault="0098243C" w:rsidP="00F47D29">
            <w:pPr>
              <w:spacing w:line="480" w:lineRule="auto"/>
              <w:rPr>
                <w:rFonts w:ascii="Times New Roman" w:hAnsi="Times New Roman" w:cs="Times New Roman"/>
                <w:sz w:val="24"/>
                <w:szCs w:val="24"/>
                <w:shd w:val="clear" w:color="auto" w:fill="FFFFFF"/>
              </w:rPr>
            </w:pPr>
            <w:r w:rsidRPr="00F47D29">
              <w:rPr>
                <w:rFonts w:ascii="Times New Roman" w:hAnsi="Times New Roman" w:cs="Times New Roman"/>
                <w:sz w:val="24"/>
                <w:szCs w:val="24"/>
                <w:shd w:val="clear" w:color="auto" w:fill="FFFFFF"/>
              </w:rPr>
              <w:t>Comprehensive Income</w:t>
            </w:r>
          </w:p>
        </w:tc>
        <w:tc>
          <w:tcPr>
            <w:tcW w:w="1530" w:type="dxa"/>
          </w:tcPr>
          <w:p w:rsidR="00347363" w:rsidRPr="00F47D29" w:rsidRDefault="0098243C" w:rsidP="00F47D29">
            <w:pPr>
              <w:spacing w:line="480" w:lineRule="auto"/>
              <w:rPr>
                <w:rFonts w:ascii="Times New Roman" w:hAnsi="Times New Roman" w:cs="Times New Roman"/>
                <w:sz w:val="24"/>
                <w:szCs w:val="24"/>
                <w:shd w:val="clear" w:color="auto" w:fill="FFFFFF"/>
              </w:rPr>
            </w:pPr>
            <w:r w:rsidRPr="00F47D29">
              <w:rPr>
                <w:rFonts w:ascii="Times New Roman" w:hAnsi="Times New Roman" w:cs="Times New Roman"/>
                <w:sz w:val="24"/>
                <w:szCs w:val="24"/>
                <w:shd w:val="clear" w:color="auto" w:fill="FFFFFF"/>
              </w:rPr>
              <w:t>($6.2)</w:t>
            </w:r>
          </w:p>
        </w:tc>
        <w:tc>
          <w:tcPr>
            <w:tcW w:w="1349" w:type="dxa"/>
          </w:tcPr>
          <w:p w:rsidR="00347363" w:rsidRPr="00F47D29" w:rsidRDefault="00D8406B" w:rsidP="00F47D29">
            <w:pPr>
              <w:spacing w:line="480" w:lineRule="auto"/>
              <w:rPr>
                <w:rFonts w:ascii="Times New Roman" w:hAnsi="Times New Roman" w:cs="Times New Roman"/>
                <w:sz w:val="24"/>
                <w:szCs w:val="24"/>
                <w:shd w:val="clear" w:color="auto" w:fill="FFFFFF"/>
              </w:rPr>
            </w:pPr>
            <w:r w:rsidRPr="00F47D29">
              <w:rPr>
                <w:rFonts w:ascii="Times New Roman" w:hAnsi="Times New Roman" w:cs="Times New Roman"/>
                <w:sz w:val="24"/>
                <w:szCs w:val="24"/>
                <w:shd w:val="clear" w:color="auto" w:fill="FFFFFF"/>
              </w:rPr>
              <w:t>-0.26%</w:t>
            </w:r>
          </w:p>
        </w:tc>
        <w:tc>
          <w:tcPr>
            <w:tcW w:w="1521" w:type="dxa"/>
          </w:tcPr>
          <w:p w:rsidR="00347363" w:rsidRPr="00F47D29" w:rsidRDefault="0098243C" w:rsidP="00F47D29">
            <w:pPr>
              <w:spacing w:line="480" w:lineRule="auto"/>
              <w:rPr>
                <w:rFonts w:ascii="Times New Roman" w:hAnsi="Times New Roman" w:cs="Times New Roman"/>
                <w:sz w:val="24"/>
                <w:szCs w:val="24"/>
                <w:shd w:val="clear" w:color="auto" w:fill="FFFFFF"/>
              </w:rPr>
            </w:pPr>
            <w:r w:rsidRPr="00F47D29">
              <w:rPr>
                <w:rFonts w:ascii="Times New Roman" w:hAnsi="Times New Roman" w:cs="Times New Roman"/>
                <w:sz w:val="24"/>
                <w:szCs w:val="24"/>
                <w:shd w:val="clear" w:color="auto" w:fill="FFFFFF"/>
              </w:rPr>
              <w:t>($5.6)</w:t>
            </w:r>
          </w:p>
        </w:tc>
        <w:tc>
          <w:tcPr>
            <w:tcW w:w="1530" w:type="dxa"/>
          </w:tcPr>
          <w:p w:rsidR="00347363" w:rsidRPr="00F47D29" w:rsidRDefault="00D8406B" w:rsidP="00F47D29">
            <w:pPr>
              <w:spacing w:line="480" w:lineRule="auto"/>
              <w:rPr>
                <w:rFonts w:ascii="Times New Roman" w:hAnsi="Times New Roman" w:cs="Times New Roman"/>
                <w:sz w:val="24"/>
                <w:szCs w:val="24"/>
                <w:shd w:val="clear" w:color="auto" w:fill="FFFFFF"/>
              </w:rPr>
            </w:pPr>
            <w:r w:rsidRPr="00F47D29">
              <w:rPr>
                <w:rFonts w:ascii="Times New Roman" w:hAnsi="Times New Roman" w:cs="Times New Roman"/>
                <w:sz w:val="24"/>
                <w:szCs w:val="24"/>
                <w:shd w:val="clear" w:color="auto" w:fill="FFFFFF"/>
              </w:rPr>
              <w:t>-0.45%</w:t>
            </w:r>
          </w:p>
        </w:tc>
      </w:tr>
      <w:tr w:rsidR="00347363" w:rsidRPr="00F47D29" w:rsidTr="00A41F26">
        <w:tc>
          <w:tcPr>
            <w:tcW w:w="2362" w:type="dxa"/>
          </w:tcPr>
          <w:p w:rsidR="00347363" w:rsidRPr="00F47D29" w:rsidRDefault="00A41F26" w:rsidP="00F47D29">
            <w:pPr>
              <w:spacing w:line="480" w:lineRule="auto"/>
              <w:rPr>
                <w:rFonts w:ascii="Times New Roman" w:hAnsi="Times New Roman" w:cs="Times New Roman"/>
                <w:sz w:val="24"/>
                <w:szCs w:val="24"/>
                <w:shd w:val="clear" w:color="auto" w:fill="FFFFFF"/>
              </w:rPr>
            </w:pPr>
            <w:r w:rsidRPr="00F47D29">
              <w:rPr>
                <w:rFonts w:ascii="Times New Roman" w:hAnsi="Times New Roman" w:cs="Times New Roman"/>
                <w:sz w:val="24"/>
                <w:szCs w:val="24"/>
                <w:shd w:val="clear" w:color="auto" w:fill="FFFFFF"/>
              </w:rPr>
              <w:t>Other Shareholders Equity</w:t>
            </w:r>
          </w:p>
        </w:tc>
        <w:tc>
          <w:tcPr>
            <w:tcW w:w="1530" w:type="dxa"/>
          </w:tcPr>
          <w:p w:rsidR="00347363" w:rsidRPr="00F47D29" w:rsidRDefault="00A41F26" w:rsidP="00F47D29">
            <w:pPr>
              <w:spacing w:line="480" w:lineRule="auto"/>
              <w:rPr>
                <w:rFonts w:ascii="Times New Roman" w:hAnsi="Times New Roman" w:cs="Times New Roman"/>
                <w:sz w:val="24"/>
                <w:szCs w:val="24"/>
                <w:shd w:val="clear" w:color="auto" w:fill="FFFFFF"/>
              </w:rPr>
            </w:pPr>
            <w:r w:rsidRPr="00F47D29">
              <w:rPr>
                <w:rFonts w:ascii="Times New Roman" w:hAnsi="Times New Roman" w:cs="Times New Roman"/>
                <w:sz w:val="24"/>
                <w:szCs w:val="24"/>
                <w:shd w:val="clear" w:color="auto" w:fill="FFFFFF"/>
              </w:rPr>
              <w:t>-</w:t>
            </w:r>
          </w:p>
        </w:tc>
        <w:tc>
          <w:tcPr>
            <w:tcW w:w="1349" w:type="dxa"/>
          </w:tcPr>
          <w:p w:rsidR="00347363" w:rsidRPr="00F47D29" w:rsidRDefault="00A41F26" w:rsidP="00F47D29">
            <w:pPr>
              <w:spacing w:line="480" w:lineRule="auto"/>
              <w:rPr>
                <w:rFonts w:ascii="Times New Roman" w:hAnsi="Times New Roman" w:cs="Times New Roman"/>
                <w:sz w:val="24"/>
                <w:szCs w:val="24"/>
                <w:shd w:val="clear" w:color="auto" w:fill="FFFFFF"/>
              </w:rPr>
            </w:pPr>
            <w:r w:rsidRPr="00F47D29">
              <w:rPr>
                <w:rFonts w:ascii="Times New Roman" w:hAnsi="Times New Roman" w:cs="Times New Roman"/>
                <w:sz w:val="24"/>
                <w:szCs w:val="24"/>
                <w:shd w:val="clear" w:color="auto" w:fill="FFFFFF"/>
              </w:rPr>
              <w:t>-</w:t>
            </w:r>
          </w:p>
        </w:tc>
        <w:tc>
          <w:tcPr>
            <w:tcW w:w="1521" w:type="dxa"/>
          </w:tcPr>
          <w:p w:rsidR="00347363" w:rsidRPr="00F47D29" w:rsidRDefault="00A41F26" w:rsidP="00F47D29">
            <w:pPr>
              <w:spacing w:line="480" w:lineRule="auto"/>
              <w:rPr>
                <w:rFonts w:ascii="Times New Roman" w:hAnsi="Times New Roman" w:cs="Times New Roman"/>
                <w:sz w:val="24"/>
                <w:szCs w:val="24"/>
                <w:shd w:val="clear" w:color="auto" w:fill="FFFFFF"/>
              </w:rPr>
            </w:pPr>
            <w:r w:rsidRPr="00F47D29">
              <w:rPr>
                <w:rFonts w:ascii="Times New Roman" w:hAnsi="Times New Roman" w:cs="Times New Roman"/>
                <w:sz w:val="24"/>
                <w:szCs w:val="24"/>
                <w:shd w:val="clear" w:color="auto" w:fill="FFFFFF"/>
              </w:rPr>
              <w:t>-</w:t>
            </w:r>
          </w:p>
        </w:tc>
        <w:tc>
          <w:tcPr>
            <w:tcW w:w="1530" w:type="dxa"/>
          </w:tcPr>
          <w:p w:rsidR="00347363" w:rsidRPr="00F47D29" w:rsidRDefault="00A41F26" w:rsidP="00F47D29">
            <w:pPr>
              <w:spacing w:line="480" w:lineRule="auto"/>
              <w:rPr>
                <w:rFonts w:ascii="Times New Roman" w:hAnsi="Times New Roman" w:cs="Times New Roman"/>
                <w:sz w:val="24"/>
                <w:szCs w:val="24"/>
                <w:shd w:val="clear" w:color="auto" w:fill="FFFFFF"/>
              </w:rPr>
            </w:pPr>
            <w:r w:rsidRPr="00F47D29">
              <w:rPr>
                <w:rFonts w:ascii="Times New Roman" w:hAnsi="Times New Roman" w:cs="Times New Roman"/>
                <w:sz w:val="24"/>
                <w:szCs w:val="24"/>
                <w:shd w:val="clear" w:color="auto" w:fill="FFFFFF"/>
              </w:rPr>
              <w:t>-</w:t>
            </w:r>
          </w:p>
        </w:tc>
      </w:tr>
      <w:tr w:rsidR="00347363" w:rsidRPr="00F47D29" w:rsidTr="00A41F26">
        <w:tc>
          <w:tcPr>
            <w:tcW w:w="2362" w:type="dxa"/>
          </w:tcPr>
          <w:p w:rsidR="00347363" w:rsidRPr="00F47D29" w:rsidRDefault="00F25B2E" w:rsidP="00F47D29">
            <w:pPr>
              <w:spacing w:line="480" w:lineRule="auto"/>
              <w:rPr>
                <w:rFonts w:ascii="Times New Roman" w:hAnsi="Times New Roman" w:cs="Times New Roman"/>
                <w:sz w:val="24"/>
                <w:szCs w:val="24"/>
                <w:shd w:val="clear" w:color="auto" w:fill="FFFFFF"/>
              </w:rPr>
            </w:pPr>
            <w:r w:rsidRPr="00F47D29">
              <w:rPr>
                <w:rFonts w:ascii="Times New Roman" w:hAnsi="Times New Roman" w:cs="Times New Roman"/>
                <w:sz w:val="24"/>
                <w:szCs w:val="24"/>
                <w:shd w:val="clear" w:color="auto" w:fill="FFFFFF"/>
              </w:rPr>
              <w:t>Stockholders’</w:t>
            </w:r>
            <w:r w:rsidR="00A41F26" w:rsidRPr="00F47D29">
              <w:rPr>
                <w:rFonts w:ascii="Times New Roman" w:hAnsi="Times New Roman" w:cs="Times New Roman"/>
                <w:sz w:val="24"/>
                <w:szCs w:val="24"/>
                <w:shd w:val="clear" w:color="auto" w:fill="FFFFFF"/>
              </w:rPr>
              <w:t xml:space="preserve"> Equity</w:t>
            </w:r>
          </w:p>
        </w:tc>
        <w:tc>
          <w:tcPr>
            <w:tcW w:w="1530" w:type="dxa"/>
          </w:tcPr>
          <w:p w:rsidR="00347363" w:rsidRPr="00F47D29" w:rsidRDefault="00A41F26" w:rsidP="00F47D29">
            <w:pPr>
              <w:spacing w:line="480" w:lineRule="auto"/>
              <w:rPr>
                <w:rFonts w:ascii="Times New Roman" w:hAnsi="Times New Roman" w:cs="Times New Roman"/>
                <w:sz w:val="24"/>
                <w:szCs w:val="24"/>
                <w:shd w:val="clear" w:color="auto" w:fill="FFFFFF"/>
              </w:rPr>
            </w:pPr>
            <w:r w:rsidRPr="00F47D29">
              <w:rPr>
                <w:rFonts w:ascii="Times New Roman" w:hAnsi="Times New Roman" w:cs="Times New Roman"/>
                <w:sz w:val="24"/>
                <w:szCs w:val="24"/>
                <w:shd w:val="clear" w:color="auto" w:fill="FFFFFF"/>
              </w:rPr>
              <w:t>($479.1)</w:t>
            </w:r>
          </w:p>
        </w:tc>
        <w:tc>
          <w:tcPr>
            <w:tcW w:w="1349" w:type="dxa"/>
          </w:tcPr>
          <w:p w:rsidR="00347363" w:rsidRPr="00F47D29" w:rsidRDefault="00F778EE" w:rsidP="00F47D29">
            <w:pPr>
              <w:spacing w:line="480" w:lineRule="auto"/>
              <w:rPr>
                <w:rFonts w:ascii="Times New Roman" w:hAnsi="Times New Roman" w:cs="Times New Roman"/>
                <w:sz w:val="24"/>
                <w:szCs w:val="24"/>
                <w:shd w:val="clear" w:color="auto" w:fill="FFFFFF"/>
              </w:rPr>
            </w:pPr>
            <w:r w:rsidRPr="00F47D29">
              <w:rPr>
                <w:rFonts w:ascii="Times New Roman" w:hAnsi="Times New Roman" w:cs="Times New Roman"/>
                <w:sz w:val="24"/>
                <w:szCs w:val="24"/>
                <w:shd w:val="clear" w:color="auto" w:fill="FFFFFF"/>
              </w:rPr>
              <w:t>-20.34%</w:t>
            </w:r>
          </w:p>
        </w:tc>
        <w:tc>
          <w:tcPr>
            <w:tcW w:w="1521" w:type="dxa"/>
          </w:tcPr>
          <w:p w:rsidR="00347363" w:rsidRPr="00F47D29" w:rsidRDefault="00A41F26" w:rsidP="00F47D29">
            <w:pPr>
              <w:spacing w:line="480" w:lineRule="auto"/>
              <w:rPr>
                <w:rFonts w:ascii="Times New Roman" w:hAnsi="Times New Roman" w:cs="Times New Roman"/>
                <w:sz w:val="24"/>
                <w:szCs w:val="24"/>
                <w:shd w:val="clear" w:color="auto" w:fill="FFFFFF"/>
              </w:rPr>
            </w:pPr>
            <w:r w:rsidRPr="00F47D29">
              <w:rPr>
                <w:rFonts w:ascii="Times New Roman" w:hAnsi="Times New Roman" w:cs="Times New Roman"/>
                <w:sz w:val="24"/>
                <w:szCs w:val="24"/>
                <w:shd w:val="clear" w:color="auto" w:fill="FFFFFF"/>
              </w:rPr>
              <w:t>($778.2)</w:t>
            </w:r>
          </w:p>
        </w:tc>
        <w:tc>
          <w:tcPr>
            <w:tcW w:w="1530" w:type="dxa"/>
          </w:tcPr>
          <w:p w:rsidR="00347363" w:rsidRPr="00F47D29" w:rsidRDefault="00F778EE" w:rsidP="00F47D29">
            <w:pPr>
              <w:spacing w:line="480" w:lineRule="auto"/>
              <w:rPr>
                <w:rFonts w:ascii="Times New Roman" w:hAnsi="Times New Roman" w:cs="Times New Roman"/>
                <w:sz w:val="24"/>
                <w:szCs w:val="24"/>
                <w:shd w:val="clear" w:color="auto" w:fill="FFFFFF"/>
              </w:rPr>
            </w:pPr>
            <w:r w:rsidRPr="00F47D29">
              <w:rPr>
                <w:rFonts w:ascii="Times New Roman" w:hAnsi="Times New Roman" w:cs="Times New Roman"/>
                <w:sz w:val="24"/>
                <w:szCs w:val="24"/>
                <w:shd w:val="clear" w:color="auto" w:fill="FFFFFF"/>
              </w:rPr>
              <w:t>-61.85%</w:t>
            </w:r>
          </w:p>
        </w:tc>
      </w:tr>
      <w:tr w:rsidR="00347363" w:rsidRPr="00F47D29" w:rsidTr="00A41F26">
        <w:tc>
          <w:tcPr>
            <w:tcW w:w="2362" w:type="dxa"/>
          </w:tcPr>
          <w:p w:rsidR="00347363" w:rsidRPr="00F47D29" w:rsidRDefault="00700919" w:rsidP="00F47D29">
            <w:pPr>
              <w:spacing w:line="480" w:lineRule="auto"/>
              <w:rPr>
                <w:rFonts w:ascii="Times New Roman" w:hAnsi="Times New Roman" w:cs="Times New Roman"/>
                <w:sz w:val="24"/>
                <w:szCs w:val="24"/>
                <w:shd w:val="clear" w:color="auto" w:fill="FFFFFF"/>
              </w:rPr>
            </w:pPr>
            <w:r w:rsidRPr="00F47D29">
              <w:rPr>
                <w:rFonts w:ascii="Times New Roman" w:hAnsi="Times New Roman" w:cs="Times New Roman"/>
                <w:sz w:val="24"/>
                <w:szCs w:val="24"/>
                <w:shd w:val="clear" w:color="auto" w:fill="FFFFFF"/>
              </w:rPr>
              <w:t>Total Liabilities and Stockholders Equity</w:t>
            </w:r>
          </w:p>
        </w:tc>
        <w:tc>
          <w:tcPr>
            <w:tcW w:w="1530" w:type="dxa"/>
          </w:tcPr>
          <w:p w:rsidR="00347363" w:rsidRPr="00F47D29" w:rsidRDefault="00A41F26" w:rsidP="00F47D29">
            <w:pPr>
              <w:spacing w:line="480" w:lineRule="auto"/>
              <w:rPr>
                <w:rFonts w:ascii="Times New Roman" w:hAnsi="Times New Roman" w:cs="Times New Roman"/>
                <w:b/>
                <w:sz w:val="24"/>
                <w:szCs w:val="24"/>
                <w:shd w:val="clear" w:color="auto" w:fill="FFFFFF"/>
              </w:rPr>
            </w:pPr>
            <w:r w:rsidRPr="00F47D29">
              <w:rPr>
                <w:rFonts w:ascii="Times New Roman" w:hAnsi="Times New Roman" w:cs="Times New Roman"/>
                <w:b/>
                <w:sz w:val="24"/>
                <w:szCs w:val="24"/>
                <w:shd w:val="clear" w:color="auto" w:fill="FFFFFF"/>
              </w:rPr>
              <w:t>$2,356</w:t>
            </w:r>
          </w:p>
        </w:tc>
        <w:tc>
          <w:tcPr>
            <w:tcW w:w="1349" w:type="dxa"/>
          </w:tcPr>
          <w:p w:rsidR="00347363" w:rsidRPr="00F47D29" w:rsidRDefault="00EE6778" w:rsidP="00F47D29">
            <w:pPr>
              <w:spacing w:line="480" w:lineRule="auto"/>
              <w:rPr>
                <w:rFonts w:ascii="Times New Roman" w:hAnsi="Times New Roman" w:cs="Times New Roman"/>
                <w:sz w:val="24"/>
                <w:szCs w:val="24"/>
                <w:shd w:val="clear" w:color="auto" w:fill="FFFFFF"/>
              </w:rPr>
            </w:pPr>
            <w:r w:rsidRPr="00F47D29">
              <w:rPr>
                <w:rFonts w:ascii="Times New Roman" w:hAnsi="Times New Roman" w:cs="Times New Roman"/>
                <w:sz w:val="24"/>
                <w:szCs w:val="24"/>
                <w:shd w:val="clear" w:color="auto" w:fill="FFFFFF"/>
              </w:rPr>
              <w:t>100%</w:t>
            </w:r>
          </w:p>
        </w:tc>
        <w:tc>
          <w:tcPr>
            <w:tcW w:w="1521" w:type="dxa"/>
          </w:tcPr>
          <w:p w:rsidR="00347363" w:rsidRPr="00F47D29" w:rsidRDefault="00A41F26" w:rsidP="00F47D29">
            <w:pPr>
              <w:spacing w:line="480" w:lineRule="auto"/>
              <w:rPr>
                <w:rFonts w:ascii="Times New Roman" w:hAnsi="Times New Roman" w:cs="Times New Roman"/>
                <w:b/>
                <w:sz w:val="24"/>
                <w:szCs w:val="24"/>
                <w:shd w:val="clear" w:color="auto" w:fill="FFFFFF"/>
              </w:rPr>
            </w:pPr>
            <w:r w:rsidRPr="00F47D29">
              <w:rPr>
                <w:rFonts w:ascii="Times New Roman" w:hAnsi="Times New Roman" w:cs="Times New Roman"/>
                <w:b/>
                <w:sz w:val="24"/>
                <w:szCs w:val="24"/>
                <w:shd w:val="clear" w:color="auto" w:fill="FFFFFF"/>
              </w:rPr>
              <w:t>$1,258.3</w:t>
            </w:r>
          </w:p>
        </w:tc>
        <w:tc>
          <w:tcPr>
            <w:tcW w:w="1530" w:type="dxa"/>
          </w:tcPr>
          <w:p w:rsidR="00347363" w:rsidRPr="00F47D29" w:rsidRDefault="00EE6778" w:rsidP="00F47D29">
            <w:pPr>
              <w:spacing w:line="480" w:lineRule="auto"/>
              <w:rPr>
                <w:rFonts w:ascii="Times New Roman" w:hAnsi="Times New Roman" w:cs="Times New Roman"/>
                <w:sz w:val="24"/>
                <w:szCs w:val="24"/>
                <w:shd w:val="clear" w:color="auto" w:fill="FFFFFF"/>
              </w:rPr>
            </w:pPr>
            <w:r w:rsidRPr="00F47D29">
              <w:rPr>
                <w:rFonts w:ascii="Times New Roman" w:hAnsi="Times New Roman" w:cs="Times New Roman"/>
                <w:sz w:val="24"/>
                <w:szCs w:val="24"/>
                <w:shd w:val="clear" w:color="auto" w:fill="FFFFFF"/>
              </w:rPr>
              <w:t>100%</w:t>
            </w:r>
          </w:p>
        </w:tc>
      </w:tr>
    </w:tbl>
    <w:p w:rsidR="00810949" w:rsidRPr="00F47D29" w:rsidRDefault="00810949" w:rsidP="00F47D29">
      <w:pPr>
        <w:spacing w:after="0" w:line="480" w:lineRule="auto"/>
        <w:ind w:left="720" w:hanging="720"/>
        <w:rPr>
          <w:rFonts w:ascii="Times New Roman" w:hAnsi="Times New Roman" w:cs="Times New Roman"/>
          <w:sz w:val="24"/>
          <w:szCs w:val="24"/>
          <w:shd w:val="clear" w:color="auto" w:fill="FFFFFF"/>
        </w:rPr>
      </w:pPr>
    </w:p>
    <w:p w:rsidR="00810949" w:rsidRPr="00F47D29" w:rsidRDefault="006F40F1" w:rsidP="00F47D29">
      <w:pPr>
        <w:spacing w:after="0" w:line="480" w:lineRule="auto"/>
        <w:rPr>
          <w:rFonts w:ascii="Times New Roman" w:hAnsi="Times New Roman" w:cs="Times New Roman"/>
          <w:sz w:val="24"/>
          <w:szCs w:val="24"/>
          <w:shd w:val="clear" w:color="auto" w:fill="FFFFFF"/>
        </w:rPr>
      </w:pPr>
      <w:r w:rsidRPr="00F47D29">
        <w:rPr>
          <w:rFonts w:ascii="Times New Roman" w:hAnsi="Times New Roman" w:cs="Times New Roman"/>
          <w:sz w:val="24"/>
          <w:szCs w:val="24"/>
          <w:shd w:val="clear" w:color="auto" w:fill="FFFFFF"/>
        </w:rPr>
        <w:t>The analysis indicates that the composition of Brinker International’s balance sheet had various significant changes from 2019 to 2020. The most notable in the balance sheet occurred with shareholders’ equity (-61.85% in 2019 versus -20.34% in 2020)</w:t>
      </w:r>
      <w:r w:rsidR="008053DA" w:rsidRPr="00F47D29">
        <w:rPr>
          <w:rFonts w:ascii="Times New Roman" w:hAnsi="Times New Roman" w:cs="Times New Roman"/>
          <w:sz w:val="24"/>
          <w:szCs w:val="24"/>
          <w:shd w:val="clear" w:color="auto" w:fill="FFFFFF"/>
        </w:rPr>
        <w:t>, current liabilities (33.5% in 2019 versus 21.1% in 2020).</w:t>
      </w:r>
    </w:p>
    <w:p w:rsidR="008053DA" w:rsidRPr="00F47D29" w:rsidRDefault="008053DA" w:rsidP="00F47D29">
      <w:pPr>
        <w:widowControl w:val="0"/>
        <w:autoSpaceDE w:val="0"/>
        <w:autoSpaceDN w:val="0"/>
        <w:adjustRightInd w:val="0"/>
        <w:spacing w:after="0" w:line="480" w:lineRule="auto"/>
        <w:jc w:val="center"/>
        <w:rPr>
          <w:rFonts w:ascii="Times New Roman" w:eastAsia="MinionPro-Regular" w:hAnsi="Times New Roman" w:cs="Times New Roman"/>
          <w:b/>
          <w:sz w:val="24"/>
          <w:szCs w:val="24"/>
          <w:lang w:eastAsia="zh-CN"/>
        </w:rPr>
      </w:pPr>
      <w:r w:rsidRPr="00F47D29">
        <w:rPr>
          <w:rFonts w:ascii="Times New Roman" w:eastAsia="MinionPro-Regular" w:hAnsi="Times New Roman" w:cs="Times New Roman"/>
          <w:b/>
          <w:sz w:val="24"/>
          <w:szCs w:val="24"/>
          <w:lang w:eastAsia="zh-CN"/>
        </w:rPr>
        <w:t>h. Use the extended DuPont equation to provide a breakdown of Company’s projected</w:t>
      </w:r>
    </w:p>
    <w:p w:rsidR="008053DA" w:rsidRPr="00F47D29" w:rsidRDefault="008053DA" w:rsidP="00F47D29">
      <w:pPr>
        <w:widowControl w:val="0"/>
        <w:autoSpaceDE w:val="0"/>
        <w:autoSpaceDN w:val="0"/>
        <w:adjustRightInd w:val="0"/>
        <w:spacing w:after="0" w:line="480" w:lineRule="auto"/>
        <w:jc w:val="center"/>
        <w:rPr>
          <w:rFonts w:ascii="Times New Roman" w:eastAsia="MinionPro-Regular" w:hAnsi="Times New Roman" w:cs="Times New Roman"/>
          <w:b/>
          <w:sz w:val="24"/>
          <w:szCs w:val="24"/>
          <w:lang w:eastAsia="zh-CN"/>
        </w:rPr>
      </w:pPr>
      <w:r w:rsidRPr="00F47D29">
        <w:rPr>
          <w:rFonts w:ascii="Times New Roman" w:eastAsia="MinionPro-Regular" w:hAnsi="Times New Roman" w:cs="Times New Roman"/>
          <w:b/>
          <w:sz w:val="24"/>
          <w:szCs w:val="24"/>
          <w:lang w:eastAsia="zh-CN"/>
        </w:rPr>
        <w:t>return on equity. How does the projection compare with the previous years and with the industry’s DuPont equation?</w:t>
      </w:r>
    </w:p>
    <w:p w:rsidR="00F25B2E" w:rsidRPr="00F47D29" w:rsidRDefault="00F25B2E" w:rsidP="00F47D29">
      <w:pPr>
        <w:spacing w:after="0" w:line="480" w:lineRule="auto"/>
        <w:ind w:left="720" w:hanging="720"/>
        <w:rPr>
          <w:rFonts w:ascii="Times New Roman" w:hAnsi="Times New Roman" w:cs="Times New Roman"/>
          <w:sz w:val="24"/>
          <w:szCs w:val="24"/>
          <w:shd w:val="clear" w:color="auto" w:fill="FFFFFF"/>
        </w:rPr>
      </w:pPr>
      <w:r w:rsidRPr="00F47D29">
        <w:rPr>
          <w:rFonts w:ascii="Times New Roman" w:hAnsi="Times New Roman" w:cs="Times New Roman"/>
          <w:sz w:val="24"/>
          <w:szCs w:val="24"/>
          <w:shd w:val="clear" w:color="auto" w:fill="FFFFFF"/>
        </w:rPr>
        <w:t xml:space="preserve">Using DuPont equation </w:t>
      </w:r>
    </w:p>
    <w:p w:rsidR="00F25B2E" w:rsidRPr="00F47D29" w:rsidRDefault="00F25B2E" w:rsidP="00F47D29">
      <w:pPr>
        <w:spacing w:after="0" w:line="480" w:lineRule="auto"/>
        <w:ind w:left="720" w:hanging="720"/>
        <w:rPr>
          <w:rFonts w:ascii="Times New Roman" w:hAnsi="Times New Roman" w:cs="Times New Roman"/>
          <w:sz w:val="24"/>
          <w:szCs w:val="24"/>
          <w:shd w:val="clear" w:color="auto" w:fill="FFFFFF"/>
        </w:rPr>
      </w:pPr>
      <w:r w:rsidRPr="00F47D29">
        <w:rPr>
          <w:rFonts w:ascii="Times New Roman" w:hAnsi="Times New Roman" w:cs="Times New Roman"/>
          <w:sz w:val="24"/>
          <w:szCs w:val="24"/>
          <w:shd w:val="clear" w:color="auto" w:fill="FFFFFF"/>
        </w:rPr>
        <w:t>ROE=</w:t>
      </w:r>
      <m:oMath>
        <m:f>
          <m:fPr>
            <m:ctrlPr>
              <w:rPr>
                <w:rFonts w:ascii="Cambria Math" w:hAnsi="Cambria Math" w:cs="Times New Roman"/>
                <w:i/>
                <w:sz w:val="24"/>
                <w:szCs w:val="24"/>
                <w:shd w:val="clear" w:color="auto" w:fill="FFFFFF"/>
              </w:rPr>
            </m:ctrlPr>
          </m:fPr>
          <m:num>
            <m:r>
              <w:rPr>
                <w:rFonts w:ascii="Cambria Math" w:hAnsi="Cambria Math" w:cs="Times New Roman"/>
                <w:sz w:val="24"/>
                <w:szCs w:val="24"/>
                <w:shd w:val="clear" w:color="auto" w:fill="FFFFFF"/>
              </w:rPr>
              <m:t>Net Income</m:t>
            </m:r>
          </m:num>
          <m:den>
            <m:r>
              <w:rPr>
                <w:rFonts w:ascii="Cambria Math" w:hAnsi="Cambria Math" w:cs="Times New Roman"/>
                <w:sz w:val="24"/>
                <w:szCs w:val="24"/>
                <w:shd w:val="clear" w:color="auto" w:fill="FFFFFF"/>
              </w:rPr>
              <m:t>Revenue</m:t>
            </m:r>
          </m:den>
        </m:f>
        <m:r>
          <w:rPr>
            <w:rFonts w:ascii="Cambria Math" w:hAnsi="Cambria Math" w:cs="Times New Roman"/>
            <w:sz w:val="24"/>
            <w:szCs w:val="24"/>
            <w:shd w:val="clear" w:color="auto" w:fill="FFFFFF"/>
          </w:rPr>
          <m:t>×</m:t>
        </m:r>
        <m:f>
          <m:fPr>
            <m:ctrlPr>
              <w:rPr>
                <w:rFonts w:ascii="Cambria Math" w:hAnsi="Cambria Math" w:cs="Times New Roman"/>
                <w:i/>
                <w:sz w:val="24"/>
                <w:szCs w:val="24"/>
                <w:shd w:val="clear" w:color="auto" w:fill="FFFFFF"/>
              </w:rPr>
            </m:ctrlPr>
          </m:fPr>
          <m:num>
            <m:r>
              <w:rPr>
                <w:rFonts w:ascii="Cambria Math" w:hAnsi="Cambria Math" w:cs="Times New Roman"/>
                <w:sz w:val="24"/>
                <w:szCs w:val="24"/>
                <w:shd w:val="clear" w:color="auto" w:fill="FFFFFF"/>
              </w:rPr>
              <m:t>Revenue</m:t>
            </m:r>
          </m:num>
          <m:den>
            <m:r>
              <w:rPr>
                <w:rFonts w:ascii="Cambria Math" w:hAnsi="Cambria Math" w:cs="Times New Roman"/>
                <w:sz w:val="24"/>
                <w:szCs w:val="24"/>
                <w:shd w:val="clear" w:color="auto" w:fill="FFFFFF"/>
              </w:rPr>
              <m:t>Total Assets</m:t>
            </m:r>
          </m:den>
        </m:f>
        <m:r>
          <w:rPr>
            <w:rFonts w:ascii="Cambria Math" w:hAnsi="Cambria Math" w:cs="Times New Roman"/>
            <w:sz w:val="24"/>
            <w:szCs w:val="24"/>
            <w:shd w:val="clear" w:color="auto" w:fill="FFFFFF"/>
          </w:rPr>
          <m:t>×</m:t>
        </m:r>
        <m:f>
          <m:fPr>
            <m:ctrlPr>
              <w:rPr>
                <w:rFonts w:ascii="Cambria Math" w:hAnsi="Cambria Math" w:cs="Times New Roman"/>
                <w:i/>
                <w:sz w:val="24"/>
                <w:szCs w:val="24"/>
                <w:shd w:val="clear" w:color="auto" w:fill="FFFFFF"/>
              </w:rPr>
            </m:ctrlPr>
          </m:fPr>
          <m:num>
            <m:r>
              <w:rPr>
                <w:rFonts w:ascii="Cambria Math" w:hAnsi="Cambria Math" w:cs="Times New Roman"/>
                <w:sz w:val="24"/>
                <w:szCs w:val="24"/>
                <w:shd w:val="clear" w:color="auto" w:fill="FFFFFF"/>
              </w:rPr>
              <m:t>Total Assets</m:t>
            </m:r>
          </m:num>
          <m:den>
            <m:r>
              <w:rPr>
                <w:rFonts w:ascii="Cambria Math" w:hAnsi="Cambria Math" w:cs="Times New Roman"/>
                <w:sz w:val="24"/>
                <w:szCs w:val="24"/>
                <w:shd w:val="clear" w:color="auto" w:fill="FFFFFF"/>
              </w:rPr>
              <m:t>Total Equity</m:t>
            </m:r>
          </m:den>
        </m:f>
      </m:oMath>
      <w:r w:rsidR="00BD1C6F" w:rsidRPr="00F47D29">
        <w:rPr>
          <w:rFonts w:ascii="Times New Roman" w:eastAsiaTheme="minorEastAsia" w:hAnsi="Times New Roman" w:cs="Times New Roman"/>
          <w:sz w:val="24"/>
          <w:szCs w:val="24"/>
          <w:shd w:val="clear" w:color="auto" w:fill="FFFFFF"/>
        </w:rPr>
        <w:t>=</w:t>
      </w:r>
      <m:oMath>
        <m:r>
          <w:rPr>
            <w:rFonts w:ascii="Cambria Math" w:eastAsiaTheme="minorEastAsia" w:hAnsi="Cambria Math" w:cs="Times New Roman"/>
            <w:sz w:val="24"/>
            <w:szCs w:val="24"/>
            <w:shd w:val="clear" w:color="auto" w:fill="FFFFFF"/>
          </w:rPr>
          <m:t>Net Margin×Asset Turnover×</m:t>
        </m:r>
        <m:r>
          <w:rPr>
            <w:rFonts w:ascii="Cambria Math" w:eastAsiaTheme="minorEastAsia" w:hAnsi="Cambria Math" w:cs="Times New Roman"/>
            <w:sz w:val="24"/>
            <w:szCs w:val="24"/>
            <w:shd w:val="clear" w:color="auto" w:fill="FFFFFF"/>
          </w:rPr>
          <m:t>Equity Multiplier</m:t>
        </m:r>
      </m:oMath>
    </w:p>
    <w:p w:rsidR="00BD1C6F" w:rsidRPr="00F47D29" w:rsidRDefault="00BD1C6F" w:rsidP="00F47D29">
      <w:pPr>
        <w:spacing w:after="0" w:line="480" w:lineRule="auto"/>
        <w:ind w:left="720" w:hanging="720"/>
        <w:rPr>
          <w:rFonts w:ascii="Times New Roman" w:eastAsiaTheme="minorEastAsia" w:hAnsi="Times New Roman" w:cs="Times New Roman"/>
          <w:sz w:val="24"/>
          <w:szCs w:val="24"/>
          <w:shd w:val="clear" w:color="auto" w:fill="FFFFFF"/>
        </w:rPr>
      </w:pPr>
      <w:r w:rsidRPr="00F47D29">
        <w:rPr>
          <w:rFonts w:ascii="Times New Roman" w:hAnsi="Times New Roman" w:cs="Times New Roman"/>
          <w:sz w:val="24"/>
          <w:szCs w:val="24"/>
          <w:shd w:val="clear" w:color="auto" w:fill="FFFFFF"/>
        </w:rPr>
        <w:lastRenderedPageBreak/>
        <w:t>ROE=</w:t>
      </w:r>
      <m:oMath>
        <m:f>
          <m:fPr>
            <m:ctrlPr>
              <w:rPr>
                <w:rFonts w:ascii="Cambria Math" w:hAnsi="Cambria Math" w:cs="Times New Roman"/>
                <w:i/>
                <w:sz w:val="24"/>
                <w:szCs w:val="24"/>
                <w:shd w:val="clear" w:color="auto" w:fill="FFFFFF"/>
              </w:rPr>
            </m:ctrlPr>
          </m:fPr>
          <m:num>
            <m:r>
              <w:rPr>
                <w:rFonts w:ascii="Cambria Math" w:hAnsi="Cambria Math" w:cs="Times New Roman"/>
                <w:sz w:val="24"/>
                <w:szCs w:val="24"/>
                <w:shd w:val="clear" w:color="auto" w:fill="FFFFFF"/>
              </w:rPr>
              <m:t>24.4</m:t>
            </m:r>
          </m:num>
          <m:den>
            <m:r>
              <w:rPr>
                <w:rFonts w:ascii="Cambria Math" w:hAnsi="Cambria Math" w:cs="Times New Roman"/>
                <w:sz w:val="24"/>
                <w:szCs w:val="24"/>
                <w:shd w:val="clear" w:color="auto" w:fill="FFFFFF"/>
              </w:rPr>
              <m:t>3078.5</m:t>
            </m:r>
          </m:den>
        </m:f>
        <m:r>
          <w:rPr>
            <w:rFonts w:ascii="Cambria Math" w:hAnsi="Cambria Math" w:cs="Times New Roman"/>
            <w:sz w:val="24"/>
            <w:szCs w:val="24"/>
            <w:shd w:val="clear" w:color="auto" w:fill="FFFFFF"/>
          </w:rPr>
          <m:t>×</m:t>
        </m:r>
        <m:f>
          <m:fPr>
            <m:ctrlPr>
              <w:rPr>
                <w:rFonts w:ascii="Cambria Math" w:hAnsi="Cambria Math" w:cs="Times New Roman"/>
                <w:i/>
                <w:sz w:val="24"/>
                <w:szCs w:val="24"/>
                <w:shd w:val="clear" w:color="auto" w:fill="FFFFFF"/>
              </w:rPr>
            </m:ctrlPr>
          </m:fPr>
          <m:num>
            <m:r>
              <w:rPr>
                <w:rFonts w:ascii="Cambria Math" w:hAnsi="Cambria Math" w:cs="Times New Roman"/>
                <w:sz w:val="24"/>
                <w:szCs w:val="24"/>
                <w:shd w:val="clear" w:color="auto" w:fill="FFFFFF"/>
              </w:rPr>
              <m:t>3078.5</m:t>
            </m:r>
          </m:num>
          <m:den>
            <m:r>
              <w:rPr>
                <w:rFonts w:ascii="Cambria Math" w:hAnsi="Cambria Math" w:cs="Times New Roman"/>
                <w:sz w:val="24"/>
                <w:szCs w:val="24"/>
                <w:shd w:val="clear" w:color="auto" w:fill="FFFFFF"/>
              </w:rPr>
              <m:t>2356</m:t>
            </m:r>
          </m:den>
        </m:f>
        <m:r>
          <w:rPr>
            <w:rFonts w:ascii="Cambria Math" w:hAnsi="Cambria Math" w:cs="Times New Roman"/>
            <w:sz w:val="24"/>
            <w:szCs w:val="24"/>
            <w:shd w:val="clear" w:color="auto" w:fill="FFFFFF"/>
          </w:rPr>
          <m:t>×</m:t>
        </m:r>
        <m:f>
          <m:fPr>
            <m:ctrlPr>
              <w:rPr>
                <w:rFonts w:ascii="Cambria Math" w:hAnsi="Cambria Math" w:cs="Times New Roman"/>
                <w:i/>
                <w:sz w:val="24"/>
                <w:szCs w:val="24"/>
                <w:shd w:val="clear" w:color="auto" w:fill="FFFFFF"/>
              </w:rPr>
            </m:ctrlPr>
          </m:fPr>
          <m:num>
            <m:r>
              <w:rPr>
                <w:rFonts w:ascii="Cambria Math" w:hAnsi="Cambria Math" w:cs="Times New Roman"/>
                <w:sz w:val="24"/>
                <w:szCs w:val="24"/>
                <w:shd w:val="clear" w:color="auto" w:fill="FFFFFF"/>
              </w:rPr>
              <m:t>2356</m:t>
            </m:r>
          </m:num>
          <m:den>
            <m:r>
              <w:rPr>
                <w:rFonts w:ascii="Cambria Math" w:hAnsi="Cambria Math" w:cs="Times New Roman"/>
                <w:sz w:val="24"/>
                <w:szCs w:val="24"/>
                <w:shd w:val="clear" w:color="auto" w:fill="FFFFFF"/>
              </w:rPr>
              <m:t>-479.1</m:t>
            </m:r>
          </m:den>
        </m:f>
      </m:oMath>
      <w:r w:rsidRPr="00F47D29">
        <w:rPr>
          <w:rFonts w:ascii="Times New Roman" w:eastAsiaTheme="minorEastAsia" w:hAnsi="Times New Roman" w:cs="Times New Roman"/>
          <w:sz w:val="24"/>
          <w:szCs w:val="24"/>
          <w:shd w:val="clear" w:color="auto" w:fill="FFFFFF"/>
        </w:rPr>
        <w:t xml:space="preserve">= </w:t>
      </w:r>
      <w:r w:rsidR="009A6726" w:rsidRPr="00F47D29">
        <w:rPr>
          <w:rFonts w:ascii="Times New Roman" w:eastAsiaTheme="minorEastAsia" w:hAnsi="Times New Roman" w:cs="Times New Roman"/>
          <w:sz w:val="24"/>
          <w:szCs w:val="24"/>
          <w:shd w:val="clear" w:color="auto" w:fill="FFFFFF"/>
        </w:rPr>
        <w:t>0.7926%</w:t>
      </w:r>
      <m:oMath>
        <m:r>
          <w:rPr>
            <w:rFonts w:ascii="Cambria Math" w:eastAsiaTheme="minorEastAsia" w:hAnsi="Cambria Math" w:cs="Times New Roman"/>
            <w:sz w:val="24"/>
            <w:szCs w:val="24"/>
            <w:shd w:val="clear" w:color="auto" w:fill="FFFFFF"/>
          </w:rPr>
          <m:t>×1.307×N/A</m:t>
        </m:r>
      </m:oMath>
    </w:p>
    <w:p w:rsidR="009A6726" w:rsidRPr="00F47D29" w:rsidRDefault="009A6726" w:rsidP="00F47D29">
      <w:pPr>
        <w:spacing w:after="0" w:line="480" w:lineRule="auto"/>
        <w:ind w:left="720" w:hanging="720"/>
        <w:rPr>
          <w:rFonts w:ascii="Times New Roman" w:eastAsiaTheme="minorEastAsia" w:hAnsi="Times New Roman" w:cs="Times New Roman"/>
          <w:sz w:val="24"/>
          <w:szCs w:val="24"/>
          <w:shd w:val="clear" w:color="auto" w:fill="FFFFFF"/>
        </w:rPr>
      </w:pPr>
      <w:r w:rsidRPr="00F47D29">
        <w:rPr>
          <w:rFonts w:ascii="Times New Roman" w:hAnsi="Times New Roman" w:cs="Times New Roman"/>
          <w:sz w:val="24"/>
          <w:szCs w:val="24"/>
          <w:shd w:val="clear" w:color="auto" w:fill="FFFFFF"/>
        </w:rPr>
        <w:t xml:space="preserve">                                              =</w:t>
      </w:r>
      <m:oMath>
        <m:r>
          <w:rPr>
            <w:rFonts w:ascii="Cambria Math" w:hAnsi="Cambria Math" w:cs="Times New Roman"/>
            <w:sz w:val="24"/>
            <w:szCs w:val="24"/>
            <w:shd w:val="clear" w:color="auto" w:fill="FFFFFF"/>
          </w:rPr>
          <m:t>1.0357×N/A</m:t>
        </m:r>
      </m:oMath>
      <w:r w:rsidRPr="00F47D29">
        <w:rPr>
          <w:rFonts w:ascii="Times New Roman" w:eastAsiaTheme="minorEastAsia" w:hAnsi="Times New Roman" w:cs="Times New Roman"/>
          <w:sz w:val="24"/>
          <w:szCs w:val="24"/>
          <w:shd w:val="clear" w:color="auto" w:fill="FFFFFF"/>
        </w:rPr>
        <w:t>=N/A</w:t>
      </w:r>
    </w:p>
    <w:p w:rsidR="009A6726" w:rsidRPr="00F47D29" w:rsidRDefault="009A6726" w:rsidP="00F47D29">
      <w:pPr>
        <w:spacing w:after="0" w:line="480" w:lineRule="auto"/>
        <w:ind w:left="720" w:hanging="720"/>
        <w:rPr>
          <w:rFonts w:ascii="Times New Roman" w:eastAsiaTheme="minorEastAsia" w:hAnsi="Times New Roman" w:cs="Times New Roman"/>
          <w:sz w:val="24"/>
          <w:szCs w:val="24"/>
          <w:shd w:val="clear" w:color="auto" w:fill="FFFFFF"/>
        </w:rPr>
      </w:pPr>
      <w:r w:rsidRPr="00F47D29">
        <w:rPr>
          <w:rFonts w:ascii="Times New Roman" w:eastAsiaTheme="minorEastAsia" w:hAnsi="Times New Roman" w:cs="Times New Roman"/>
          <w:sz w:val="24"/>
          <w:szCs w:val="24"/>
          <w:shd w:val="clear" w:color="auto" w:fill="FFFFFF"/>
        </w:rPr>
        <w:t>ROE=N/A</w:t>
      </w:r>
    </w:p>
    <w:p w:rsidR="00E53002" w:rsidRPr="00F47D29" w:rsidRDefault="009A6726" w:rsidP="009B7592">
      <w:pPr>
        <w:spacing w:after="0" w:line="480" w:lineRule="auto"/>
        <w:rPr>
          <w:rFonts w:ascii="Times New Roman" w:hAnsi="Times New Roman" w:cs="Times New Roman"/>
          <w:sz w:val="24"/>
          <w:szCs w:val="24"/>
          <w:shd w:val="clear" w:color="auto" w:fill="FFFFFF"/>
        </w:rPr>
      </w:pPr>
      <w:r w:rsidRPr="00F47D29">
        <w:rPr>
          <w:rFonts w:ascii="Times New Roman" w:hAnsi="Times New Roman" w:cs="Times New Roman"/>
          <w:sz w:val="24"/>
          <w:szCs w:val="24"/>
          <w:shd w:val="clear" w:color="auto" w:fill="FFFFFF"/>
        </w:rPr>
        <w:t xml:space="preserve">The previous year (2019 June) is also N/A since total stockholders’ equity is </w:t>
      </w:r>
      <w:r w:rsidR="00997102" w:rsidRPr="00F47D29">
        <w:rPr>
          <w:rFonts w:ascii="Times New Roman" w:hAnsi="Times New Roman" w:cs="Times New Roman"/>
          <w:sz w:val="24"/>
          <w:szCs w:val="24"/>
          <w:shd w:val="clear" w:color="auto" w:fill="FFFFFF"/>
        </w:rPr>
        <w:t>negative (</w:t>
      </w:r>
      <w:r w:rsidRPr="00F47D29">
        <w:rPr>
          <w:rFonts w:ascii="Times New Roman" w:hAnsi="Times New Roman" w:cs="Times New Roman"/>
          <w:sz w:val="24"/>
          <w:szCs w:val="24"/>
          <w:shd w:val="clear" w:color="auto" w:fill="FFFFFF"/>
        </w:rPr>
        <w:t>$-778.2). This means tha</w:t>
      </w:r>
      <w:r w:rsidR="009B7592">
        <w:rPr>
          <w:rFonts w:ascii="Times New Roman" w:hAnsi="Times New Roman" w:cs="Times New Roman"/>
          <w:sz w:val="24"/>
          <w:szCs w:val="24"/>
          <w:shd w:val="clear" w:color="auto" w:fill="FFFFFF"/>
        </w:rPr>
        <w:t>t the equity multipliers is N/A.</w:t>
      </w:r>
    </w:p>
    <w:p w:rsidR="00E53002" w:rsidRPr="00F47D29" w:rsidRDefault="00E53002" w:rsidP="009B7592">
      <w:pPr>
        <w:spacing w:after="0" w:line="480" w:lineRule="auto"/>
        <w:rPr>
          <w:rFonts w:ascii="Times New Roman" w:hAnsi="Times New Roman" w:cs="Times New Roman"/>
          <w:sz w:val="24"/>
          <w:szCs w:val="24"/>
          <w:shd w:val="clear" w:color="auto" w:fill="FFFFFF"/>
        </w:rPr>
      </w:pPr>
    </w:p>
    <w:p w:rsidR="00370C86" w:rsidRPr="00F47D29" w:rsidRDefault="00B531E3" w:rsidP="00F47D29">
      <w:pPr>
        <w:pStyle w:val="ListParagraph"/>
        <w:numPr>
          <w:ilvl w:val="0"/>
          <w:numId w:val="17"/>
        </w:numPr>
        <w:spacing w:after="0" w:line="480" w:lineRule="auto"/>
        <w:jc w:val="center"/>
        <w:rPr>
          <w:rFonts w:ascii="Times New Roman" w:hAnsi="Times New Roman" w:cs="Times New Roman"/>
          <w:b/>
          <w:sz w:val="24"/>
          <w:szCs w:val="24"/>
          <w:shd w:val="clear" w:color="auto" w:fill="FFFFFF"/>
        </w:rPr>
      </w:pPr>
      <w:r w:rsidRPr="00F47D29">
        <w:rPr>
          <w:rFonts w:ascii="Times New Roman" w:eastAsia="MinionPro-Regular" w:hAnsi="Times New Roman" w:cs="Times New Roman"/>
          <w:b/>
          <w:sz w:val="24"/>
          <w:szCs w:val="24"/>
          <w:lang w:eastAsia="zh-CN"/>
        </w:rPr>
        <w:t>What are some potential problems and limitations of financial ratio analysis?</w:t>
      </w:r>
    </w:p>
    <w:p w:rsidR="00370C86" w:rsidRPr="00F47D29" w:rsidRDefault="00370C86" w:rsidP="00F47D29">
      <w:pPr>
        <w:spacing w:after="0" w:line="480" w:lineRule="auto"/>
        <w:ind w:left="720" w:hanging="720"/>
        <w:rPr>
          <w:rFonts w:ascii="Times New Roman" w:hAnsi="Times New Roman" w:cs="Times New Roman"/>
          <w:sz w:val="24"/>
          <w:szCs w:val="24"/>
          <w:shd w:val="clear" w:color="auto" w:fill="FFFFFF"/>
        </w:rPr>
      </w:pPr>
    </w:p>
    <w:p w:rsidR="00370C86" w:rsidRPr="00CF63C1" w:rsidRDefault="00B531E3" w:rsidP="00CF63C1">
      <w:pPr>
        <w:pStyle w:val="ListParagraph"/>
        <w:numPr>
          <w:ilvl w:val="0"/>
          <w:numId w:val="19"/>
        </w:numPr>
        <w:spacing w:after="0" w:line="480" w:lineRule="auto"/>
        <w:rPr>
          <w:rFonts w:ascii="Times New Roman" w:hAnsi="Times New Roman" w:cs="Times New Roman"/>
          <w:sz w:val="24"/>
          <w:szCs w:val="24"/>
          <w:shd w:val="clear" w:color="auto" w:fill="FFFFFF"/>
        </w:rPr>
      </w:pPr>
      <w:r w:rsidRPr="00CF63C1">
        <w:rPr>
          <w:rFonts w:ascii="Times New Roman" w:hAnsi="Times New Roman" w:cs="Times New Roman"/>
          <w:sz w:val="24"/>
          <w:szCs w:val="24"/>
          <w:shd w:val="clear" w:color="auto" w:fill="FFFFFF"/>
        </w:rPr>
        <w:t>Historical information: rational analysis is usually based on the past information generated by the organization</w:t>
      </w:r>
      <w:sdt>
        <w:sdtPr>
          <w:rPr>
            <w:rFonts w:ascii="Times New Roman" w:hAnsi="Times New Roman" w:cs="Times New Roman"/>
            <w:sz w:val="24"/>
            <w:szCs w:val="24"/>
            <w:shd w:val="clear" w:color="auto" w:fill="FFFFFF"/>
          </w:rPr>
          <w:id w:val="-603340381"/>
          <w:citation/>
        </w:sdtPr>
        <w:sdtContent>
          <w:r w:rsidR="009B7592">
            <w:rPr>
              <w:rFonts w:ascii="Times New Roman" w:hAnsi="Times New Roman" w:cs="Times New Roman"/>
              <w:sz w:val="24"/>
              <w:szCs w:val="24"/>
              <w:shd w:val="clear" w:color="auto" w:fill="FFFFFF"/>
            </w:rPr>
            <w:fldChar w:fldCharType="begin"/>
          </w:r>
          <w:r w:rsidR="009B7592">
            <w:rPr>
              <w:rFonts w:ascii="Times New Roman" w:hAnsi="Times New Roman" w:cs="Times New Roman"/>
              <w:sz w:val="24"/>
              <w:szCs w:val="24"/>
              <w:shd w:val="clear" w:color="auto" w:fill="FFFFFF"/>
            </w:rPr>
            <w:instrText xml:space="preserve"> CITATION LiJ19 \l 1033 </w:instrText>
          </w:r>
          <w:r w:rsidR="009B7592">
            <w:rPr>
              <w:rFonts w:ascii="Times New Roman" w:hAnsi="Times New Roman" w:cs="Times New Roman"/>
              <w:sz w:val="24"/>
              <w:szCs w:val="24"/>
              <w:shd w:val="clear" w:color="auto" w:fill="FFFFFF"/>
            </w:rPr>
            <w:fldChar w:fldCharType="separate"/>
          </w:r>
          <w:r w:rsidR="009B7592">
            <w:rPr>
              <w:rFonts w:ascii="Times New Roman" w:hAnsi="Times New Roman" w:cs="Times New Roman"/>
              <w:noProof/>
              <w:sz w:val="24"/>
              <w:szCs w:val="24"/>
              <w:shd w:val="clear" w:color="auto" w:fill="FFFFFF"/>
            </w:rPr>
            <w:t xml:space="preserve"> </w:t>
          </w:r>
          <w:r w:rsidR="009B7592" w:rsidRPr="009B7592">
            <w:rPr>
              <w:rFonts w:ascii="Times New Roman" w:hAnsi="Times New Roman" w:cs="Times New Roman"/>
              <w:noProof/>
              <w:sz w:val="24"/>
              <w:szCs w:val="24"/>
              <w:shd w:val="clear" w:color="auto" w:fill="FFFFFF"/>
            </w:rPr>
            <w:t>(Li, 2019)</w:t>
          </w:r>
          <w:r w:rsidR="009B7592">
            <w:rPr>
              <w:rFonts w:ascii="Times New Roman" w:hAnsi="Times New Roman" w:cs="Times New Roman"/>
              <w:sz w:val="24"/>
              <w:szCs w:val="24"/>
              <w:shd w:val="clear" w:color="auto" w:fill="FFFFFF"/>
            </w:rPr>
            <w:fldChar w:fldCharType="end"/>
          </w:r>
        </w:sdtContent>
      </w:sdt>
      <w:r w:rsidRPr="00CF63C1">
        <w:rPr>
          <w:rFonts w:ascii="Times New Roman" w:hAnsi="Times New Roman" w:cs="Times New Roman"/>
          <w:sz w:val="24"/>
          <w:szCs w:val="24"/>
          <w:shd w:val="clear" w:color="auto" w:fill="FFFFFF"/>
        </w:rPr>
        <w:t>. Hence, the analysis does not usually represent the future performance of the firm.</w:t>
      </w:r>
    </w:p>
    <w:p w:rsidR="006F2F7D" w:rsidRPr="00CF63C1" w:rsidRDefault="006F2F7D" w:rsidP="00CF63C1">
      <w:pPr>
        <w:pStyle w:val="ListParagraph"/>
        <w:numPr>
          <w:ilvl w:val="0"/>
          <w:numId w:val="19"/>
        </w:numPr>
        <w:spacing w:after="0" w:line="480" w:lineRule="auto"/>
        <w:rPr>
          <w:rFonts w:ascii="Times New Roman" w:hAnsi="Times New Roman" w:cs="Times New Roman"/>
          <w:sz w:val="24"/>
          <w:szCs w:val="24"/>
          <w:shd w:val="clear" w:color="auto" w:fill="FFFFFF"/>
        </w:rPr>
      </w:pPr>
      <w:r w:rsidRPr="00CF63C1">
        <w:rPr>
          <w:rFonts w:ascii="Times New Roman" w:hAnsi="Times New Roman" w:cs="Times New Roman"/>
          <w:sz w:val="24"/>
          <w:szCs w:val="24"/>
          <w:shd w:val="clear" w:color="auto" w:fill="FFFFFF"/>
        </w:rPr>
        <w:t>Changes in operations of a company:</w:t>
      </w:r>
      <w:r w:rsidR="00B6512E" w:rsidRPr="00CF63C1">
        <w:rPr>
          <w:rFonts w:ascii="Times New Roman" w:hAnsi="Times New Roman" w:cs="Times New Roman"/>
          <w:sz w:val="24"/>
          <w:szCs w:val="24"/>
          <w:shd w:val="clear" w:color="auto" w:fill="FFFFFF"/>
        </w:rPr>
        <w:t xml:space="preserve"> If a company changes its operational strategies such as supply and inventory </w:t>
      </w:r>
      <w:r w:rsidR="00D63EAD" w:rsidRPr="00CF63C1">
        <w:rPr>
          <w:rFonts w:ascii="Times New Roman" w:hAnsi="Times New Roman" w:cs="Times New Roman"/>
          <w:sz w:val="24"/>
          <w:szCs w:val="24"/>
          <w:shd w:val="clear" w:color="auto" w:fill="FFFFFF"/>
        </w:rPr>
        <w:t xml:space="preserve">strategies, the comparison of various financial, solvency, liquidity, and efficiency metrics before and after change of the operations may result in misleading financial reporting concerning the performance as well as projections of the company. </w:t>
      </w:r>
    </w:p>
    <w:p w:rsidR="00B531E3" w:rsidRPr="00CF63C1" w:rsidRDefault="00B531E3" w:rsidP="00CF63C1">
      <w:pPr>
        <w:pStyle w:val="ListParagraph"/>
        <w:numPr>
          <w:ilvl w:val="0"/>
          <w:numId w:val="19"/>
        </w:numPr>
        <w:spacing w:after="0" w:line="480" w:lineRule="auto"/>
        <w:rPr>
          <w:rFonts w:ascii="Times New Roman" w:hAnsi="Times New Roman" w:cs="Times New Roman"/>
          <w:sz w:val="24"/>
          <w:szCs w:val="24"/>
          <w:shd w:val="clear" w:color="auto" w:fill="FFFFFF"/>
        </w:rPr>
      </w:pPr>
      <w:r w:rsidRPr="00CF63C1">
        <w:rPr>
          <w:rFonts w:ascii="Times New Roman" w:hAnsi="Times New Roman" w:cs="Times New Roman"/>
          <w:sz w:val="24"/>
          <w:szCs w:val="24"/>
          <w:shd w:val="clear" w:color="auto" w:fill="FFFFFF"/>
        </w:rPr>
        <w:t>Cha</w:t>
      </w:r>
      <w:r w:rsidR="006F2F7D" w:rsidRPr="00CF63C1">
        <w:rPr>
          <w:rFonts w:ascii="Times New Roman" w:hAnsi="Times New Roman" w:cs="Times New Roman"/>
          <w:sz w:val="24"/>
          <w:szCs w:val="24"/>
          <w:shd w:val="clear" w:color="auto" w:fill="FFFFFF"/>
        </w:rPr>
        <w:t>nges in the accounting procedures and policies</w:t>
      </w:r>
      <w:r w:rsidR="00784927" w:rsidRPr="00CF63C1">
        <w:rPr>
          <w:rFonts w:ascii="Times New Roman" w:hAnsi="Times New Roman" w:cs="Times New Roman"/>
          <w:sz w:val="24"/>
          <w:szCs w:val="24"/>
          <w:shd w:val="clear" w:color="auto" w:fill="FFFFFF"/>
        </w:rPr>
        <w:t>: In</w:t>
      </w:r>
      <w:r w:rsidRPr="00CF63C1">
        <w:rPr>
          <w:rFonts w:ascii="Times New Roman" w:hAnsi="Times New Roman" w:cs="Times New Roman"/>
          <w:sz w:val="24"/>
          <w:szCs w:val="24"/>
          <w:shd w:val="clear" w:color="auto" w:fill="FFFFFF"/>
        </w:rPr>
        <w:t xml:space="preserve"> </w:t>
      </w:r>
      <w:r w:rsidR="00784927" w:rsidRPr="00CF63C1">
        <w:rPr>
          <w:rFonts w:ascii="Times New Roman" w:hAnsi="Times New Roman" w:cs="Times New Roman"/>
          <w:sz w:val="24"/>
          <w:szCs w:val="24"/>
          <w:shd w:val="clear" w:color="auto" w:fill="FFFFFF"/>
        </w:rPr>
        <w:t>situations</w:t>
      </w:r>
      <w:r w:rsidRPr="00CF63C1">
        <w:rPr>
          <w:rFonts w:ascii="Times New Roman" w:hAnsi="Times New Roman" w:cs="Times New Roman"/>
          <w:sz w:val="24"/>
          <w:szCs w:val="24"/>
          <w:shd w:val="clear" w:color="auto" w:fill="FFFFFF"/>
        </w:rPr>
        <w:t xml:space="preserve"> </w:t>
      </w:r>
      <w:r w:rsidR="00784927" w:rsidRPr="00CF63C1">
        <w:rPr>
          <w:rFonts w:ascii="Times New Roman" w:hAnsi="Times New Roman" w:cs="Times New Roman"/>
          <w:sz w:val="24"/>
          <w:szCs w:val="24"/>
          <w:shd w:val="clear" w:color="auto" w:fill="FFFFFF"/>
        </w:rPr>
        <w:t>where</w:t>
      </w:r>
      <w:r w:rsidRPr="00CF63C1">
        <w:rPr>
          <w:rFonts w:ascii="Times New Roman" w:hAnsi="Times New Roman" w:cs="Times New Roman"/>
          <w:sz w:val="24"/>
          <w:szCs w:val="24"/>
          <w:shd w:val="clear" w:color="auto" w:fill="FFFFFF"/>
        </w:rPr>
        <w:t xml:space="preserve"> a company changes its accounting procedures and policies the key solvency, </w:t>
      </w:r>
      <w:r w:rsidR="00784927" w:rsidRPr="00CF63C1">
        <w:rPr>
          <w:rFonts w:ascii="Times New Roman" w:hAnsi="Times New Roman" w:cs="Times New Roman"/>
          <w:sz w:val="24"/>
          <w:szCs w:val="24"/>
          <w:shd w:val="clear" w:color="auto" w:fill="FFFFFF"/>
        </w:rPr>
        <w:t>financial,</w:t>
      </w:r>
      <w:r w:rsidRPr="00CF63C1">
        <w:rPr>
          <w:rFonts w:ascii="Times New Roman" w:hAnsi="Times New Roman" w:cs="Times New Roman"/>
          <w:sz w:val="24"/>
          <w:szCs w:val="24"/>
          <w:shd w:val="clear" w:color="auto" w:fill="FFFFFF"/>
        </w:rPr>
        <w:t xml:space="preserve"> </w:t>
      </w:r>
      <w:r w:rsidR="00784927" w:rsidRPr="00CF63C1">
        <w:rPr>
          <w:rFonts w:ascii="Times New Roman" w:hAnsi="Times New Roman" w:cs="Times New Roman"/>
          <w:sz w:val="24"/>
          <w:szCs w:val="24"/>
          <w:shd w:val="clear" w:color="auto" w:fill="FFFFFF"/>
        </w:rPr>
        <w:t>liquidity, and</w:t>
      </w:r>
      <w:r w:rsidRPr="00CF63C1">
        <w:rPr>
          <w:rFonts w:ascii="Times New Roman" w:hAnsi="Times New Roman" w:cs="Times New Roman"/>
          <w:sz w:val="24"/>
          <w:szCs w:val="24"/>
          <w:shd w:val="clear" w:color="auto" w:fill="FFFFFF"/>
        </w:rPr>
        <w:t xml:space="preserve"> efficiency metrics used to conduct the organization’s ratio </w:t>
      </w:r>
      <w:r w:rsidR="00784927" w:rsidRPr="00CF63C1">
        <w:rPr>
          <w:rFonts w:ascii="Times New Roman" w:hAnsi="Times New Roman" w:cs="Times New Roman"/>
          <w:sz w:val="24"/>
          <w:szCs w:val="24"/>
          <w:shd w:val="clear" w:color="auto" w:fill="FFFFFF"/>
        </w:rPr>
        <w:t>analysis will be significantly altered.</w:t>
      </w:r>
    </w:p>
    <w:p w:rsidR="00370C86" w:rsidRPr="00CF63C1" w:rsidRDefault="005D656A" w:rsidP="00CF63C1">
      <w:pPr>
        <w:pStyle w:val="ListParagraph"/>
        <w:numPr>
          <w:ilvl w:val="0"/>
          <w:numId w:val="19"/>
        </w:numPr>
        <w:spacing w:after="0" w:line="480" w:lineRule="auto"/>
        <w:rPr>
          <w:rFonts w:ascii="Times New Roman" w:hAnsi="Times New Roman" w:cs="Times New Roman"/>
          <w:sz w:val="24"/>
          <w:szCs w:val="24"/>
          <w:shd w:val="clear" w:color="auto" w:fill="FFFFFF"/>
        </w:rPr>
      </w:pPr>
      <w:r w:rsidRPr="00CF63C1">
        <w:rPr>
          <w:rFonts w:ascii="Times New Roman" w:hAnsi="Times New Roman" w:cs="Times New Roman"/>
          <w:sz w:val="24"/>
          <w:szCs w:val="24"/>
          <w:shd w:val="clear" w:color="auto" w:fill="FFFFFF"/>
        </w:rPr>
        <w:t xml:space="preserve">Inflationary effects: actual prices of stock and products </w:t>
      </w:r>
      <w:r w:rsidR="00E53002" w:rsidRPr="00CF63C1">
        <w:rPr>
          <w:rFonts w:ascii="Times New Roman" w:hAnsi="Times New Roman" w:cs="Times New Roman"/>
          <w:sz w:val="24"/>
          <w:szCs w:val="24"/>
          <w:shd w:val="clear" w:color="auto" w:fill="FFFFFF"/>
        </w:rPr>
        <w:t>are not reflected in the company’s financial statements such as cash flow, balance sheet, and income statements if there is the occurrence of inflation in between the trading periods.</w:t>
      </w:r>
    </w:p>
    <w:p w:rsidR="00F47D29" w:rsidRPr="00F47D29" w:rsidRDefault="00F47D29" w:rsidP="00F47D29">
      <w:pPr>
        <w:widowControl w:val="0"/>
        <w:autoSpaceDE w:val="0"/>
        <w:autoSpaceDN w:val="0"/>
        <w:adjustRightInd w:val="0"/>
        <w:spacing w:after="0" w:line="480" w:lineRule="auto"/>
        <w:jc w:val="center"/>
        <w:rPr>
          <w:rFonts w:ascii="Times New Roman" w:eastAsia="MinionPro-Regular" w:hAnsi="Times New Roman" w:cs="Times New Roman"/>
          <w:b/>
          <w:sz w:val="24"/>
          <w:szCs w:val="24"/>
          <w:lang w:eastAsia="zh-CN"/>
        </w:rPr>
      </w:pPr>
      <w:r w:rsidRPr="00F47D29">
        <w:rPr>
          <w:rFonts w:ascii="Times New Roman" w:hAnsi="Times New Roman" w:cs="Times New Roman"/>
          <w:sz w:val="24"/>
          <w:szCs w:val="24"/>
          <w:shd w:val="clear" w:color="auto" w:fill="FFFFFF"/>
        </w:rPr>
        <w:lastRenderedPageBreak/>
        <w:t>j</w:t>
      </w:r>
      <w:r w:rsidRPr="00F47D29">
        <w:rPr>
          <w:rFonts w:ascii="Times New Roman" w:hAnsi="Times New Roman" w:cs="Times New Roman"/>
          <w:b/>
          <w:sz w:val="24"/>
          <w:szCs w:val="24"/>
          <w:shd w:val="clear" w:color="auto" w:fill="FFFFFF"/>
        </w:rPr>
        <w:t xml:space="preserve">. </w:t>
      </w:r>
      <w:r w:rsidRPr="00F47D29">
        <w:rPr>
          <w:rFonts w:ascii="Times New Roman" w:eastAsia="MinionPro-Regular" w:hAnsi="Times New Roman" w:cs="Times New Roman"/>
          <w:b/>
          <w:sz w:val="24"/>
          <w:szCs w:val="24"/>
          <w:lang w:eastAsia="zh-CN"/>
        </w:rPr>
        <w:t>What are some qualitative factors that analysts should consider when evaluating a</w:t>
      </w:r>
    </w:p>
    <w:p w:rsidR="00370C86" w:rsidRDefault="00F47D29" w:rsidP="00F47D29">
      <w:pPr>
        <w:spacing w:after="0" w:line="480" w:lineRule="auto"/>
        <w:ind w:left="720" w:hanging="720"/>
        <w:jc w:val="center"/>
        <w:rPr>
          <w:rFonts w:ascii="Times New Roman" w:eastAsia="MinionPro-Regular" w:hAnsi="Times New Roman" w:cs="Times New Roman"/>
          <w:b/>
          <w:sz w:val="24"/>
          <w:szCs w:val="24"/>
          <w:lang w:eastAsia="zh-CN"/>
        </w:rPr>
      </w:pPr>
      <w:r w:rsidRPr="00F47D29">
        <w:rPr>
          <w:rFonts w:ascii="Times New Roman" w:eastAsia="MinionPro-Regular" w:hAnsi="Times New Roman" w:cs="Times New Roman"/>
          <w:b/>
          <w:sz w:val="24"/>
          <w:szCs w:val="24"/>
          <w:lang w:eastAsia="zh-CN"/>
        </w:rPr>
        <w:t>company’s likely future financial performance</w:t>
      </w:r>
    </w:p>
    <w:p w:rsidR="00CF63C1" w:rsidRPr="00CF63C1" w:rsidRDefault="00CF63C1" w:rsidP="00CF63C1">
      <w:pPr>
        <w:pStyle w:val="ListParagraph"/>
        <w:numPr>
          <w:ilvl w:val="0"/>
          <w:numId w:val="18"/>
        </w:numPr>
        <w:spacing w:after="0" w:line="480" w:lineRule="auto"/>
        <w:rPr>
          <w:rFonts w:ascii="Times New Roman" w:eastAsia="MinionPro-Regular" w:hAnsi="Times New Roman" w:cs="Times New Roman"/>
          <w:sz w:val="24"/>
          <w:szCs w:val="24"/>
          <w:lang w:eastAsia="zh-CN"/>
        </w:rPr>
      </w:pPr>
      <w:r w:rsidRPr="00CF63C1">
        <w:rPr>
          <w:rFonts w:ascii="Times New Roman" w:eastAsia="MinionPro-Regular" w:hAnsi="Times New Roman" w:cs="Times New Roman"/>
          <w:sz w:val="24"/>
          <w:szCs w:val="24"/>
          <w:lang w:eastAsia="zh-CN"/>
        </w:rPr>
        <w:t>The analyst should consider the level of completion the company faces</w:t>
      </w:r>
    </w:p>
    <w:p w:rsidR="00CF63C1" w:rsidRPr="00CF63C1" w:rsidRDefault="00CF63C1" w:rsidP="00CF63C1">
      <w:pPr>
        <w:pStyle w:val="ListParagraph"/>
        <w:numPr>
          <w:ilvl w:val="0"/>
          <w:numId w:val="18"/>
        </w:numPr>
        <w:spacing w:after="0" w:line="480" w:lineRule="auto"/>
        <w:rPr>
          <w:rFonts w:ascii="Times New Roman" w:eastAsia="MinionPro-Regular" w:hAnsi="Times New Roman" w:cs="Times New Roman"/>
          <w:sz w:val="24"/>
          <w:szCs w:val="24"/>
          <w:lang w:eastAsia="zh-CN"/>
        </w:rPr>
      </w:pPr>
      <w:r w:rsidRPr="00CF63C1">
        <w:rPr>
          <w:rFonts w:ascii="Times New Roman" w:eastAsia="MinionPro-Regular" w:hAnsi="Times New Roman" w:cs="Times New Roman"/>
          <w:sz w:val="24"/>
          <w:szCs w:val="24"/>
          <w:lang w:eastAsia="zh-CN"/>
        </w:rPr>
        <w:t>The analysts should consider to what extent the firm relies on the single supplier.</w:t>
      </w:r>
    </w:p>
    <w:p w:rsidR="00CF63C1" w:rsidRPr="009B7592" w:rsidRDefault="00CF63C1" w:rsidP="00CF63C1">
      <w:pPr>
        <w:pStyle w:val="ListParagraph"/>
        <w:numPr>
          <w:ilvl w:val="0"/>
          <w:numId w:val="18"/>
        </w:numPr>
        <w:spacing w:after="0" w:line="480" w:lineRule="auto"/>
        <w:rPr>
          <w:rFonts w:ascii="Times New Roman" w:hAnsi="Times New Roman" w:cs="Times New Roman"/>
          <w:sz w:val="24"/>
          <w:szCs w:val="24"/>
          <w:shd w:val="clear" w:color="auto" w:fill="FFFFFF"/>
        </w:rPr>
      </w:pPr>
      <w:r w:rsidRPr="00CF63C1">
        <w:rPr>
          <w:rFonts w:ascii="Times New Roman" w:eastAsia="MinionPro-Regular" w:hAnsi="Times New Roman" w:cs="Times New Roman"/>
          <w:sz w:val="24"/>
          <w:szCs w:val="24"/>
          <w:lang w:eastAsia="zh-CN"/>
        </w:rPr>
        <w:t>The analysis should take into account the revenues of the firm that is tied to one important client</w:t>
      </w:r>
    </w:p>
    <w:p w:rsidR="009B7592" w:rsidRDefault="009B7592" w:rsidP="009B7592">
      <w:pPr>
        <w:spacing w:after="0" w:line="480" w:lineRule="auto"/>
        <w:rPr>
          <w:rFonts w:ascii="Times New Roman" w:hAnsi="Times New Roman" w:cs="Times New Roman"/>
          <w:sz w:val="24"/>
          <w:szCs w:val="24"/>
          <w:shd w:val="clear" w:color="auto" w:fill="FFFFFF"/>
        </w:rPr>
      </w:pPr>
    </w:p>
    <w:p w:rsidR="009B7592" w:rsidRDefault="009B7592" w:rsidP="009B7592">
      <w:pPr>
        <w:spacing w:after="0" w:line="480" w:lineRule="auto"/>
        <w:rPr>
          <w:rFonts w:ascii="Times New Roman" w:hAnsi="Times New Roman" w:cs="Times New Roman"/>
          <w:sz w:val="24"/>
          <w:szCs w:val="24"/>
          <w:shd w:val="clear" w:color="auto" w:fill="FFFFFF"/>
        </w:rPr>
      </w:pPr>
    </w:p>
    <w:p w:rsidR="009B7592" w:rsidRPr="009B7592" w:rsidRDefault="009B7592" w:rsidP="009B7592">
      <w:pPr>
        <w:spacing w:after="0" w:line="480" w:lineRule="auto"/>
        <w:rPr>
          <w:rFonts w:ascii="Times New Roman" w:hAnsi="Times New Roman" w:cs="Times New Roman"/>
          <w:sz w:val="24"/>
          <w:szCs w:val="24"/>
          <w:shd w:val="clear" w:color="auto" w:fill="FFFFFF"/>
        </w:rPr>
      </w:pPr>
    </w:p>
    <w:p w:rsidR="00370C86" w:rsidRPr="00F47D29" w:rsidRDefault="00370C86" w:rsidP="00F47D29">
      <w:pPr>
        <w:spacing w:after="0" w:line="480" w:lineRule="auto"/>
        <w:ind w:left="720" w:hanging="720"/>
        <w:rPr>
          <w:rFonts w:ascii="Times New Roman" w:hAnsi="Times New Roman" w:cs="Times New Roman"/>
          <w:sz w:val="24"/>
          <w:szCs w:val="24"/>
          <w:shd w:val="clear" w:color="auto" w:fill="FFFFFF"/>
        </w:rPr>
      </w:pPr>
    </w:p>
    <w:p w:rsidR="009B7592" w:rsidRDefault="009B7592" w:rsidP="00F47D29">
      <w:pPr>
        <w:spacing w:after="0" w:line="480" w:lineRule="auto"/>
        <w:ind w:left="720" w:hanging="720"/>
        <w:rPr>
          <w:rFonts w:ascii="Times New Roman" w:hAnsi="Times New Roman" w:cs="Times New Roman"/>
          <w:sz w:val="24"/>
          <w:szCs w:val="24"/>
          <w:shd w:val="clear" w:color="auto" w:fill="FFFFFF"/>
        </w:rPr>
      </w:pPr>
    </w:p>
    <w:p w:rsidR="009B7592" w:rsidRDefault="009B7592" w:rsidP="00F47D29">
      <w:pPr>
        <w:spacing w:after="0" w:line="480" w:lineRule="auto"/>
        <w:ind w:left="720" w:hanging="720"/>
        <w:rPr>
          <w:rFonts w:ascii="Times New Roman" w:hAnsi="Times New Roman" w:cs="Times New Roman"/>
          <w:sz w:val="24"/>
          <w:szCs w:val="24"/>
          <w:shd w:val="clear" w:color="auto" w:fill="FFFFFF"/>
        </w:rPr>
      </w:pPr>
    </w:p>
    <w:p w:rsidR="009B7592" w:rsidRDefault="009B7592" w:rsidP="00F47D29">
      <w:pPr>
        <w:spacing w:after="0" w:line="480" w:lineRule="auto"/>
        <w:ind w:left="720" w:hanging="720"/>
        <w:rPr>
          <w:rFonts w:ascii="Times New Roman" w:hAnsi="Times New Roman" w:cs="Times New Roman"/>
          <w:sz w:val="24"/>
          <w:szCs w:val="24"/>
          <w:shd w:val="clear" w:color="auto" w:fill="FFFFFF"/>
        </w:rPr>
      </w:pPr>
    </w:p>
    <w:p w:rsidR="009B7592" w:rsidRDefault="009B7592" w:rsidP="00F47D29">
      <w:pPr>
        <w:spacing w:after="0" w:line="480" w:lineRule="auto"/>
        <w:ind w:left="720" w:hanging="720"/>
        <w:rPr>
          <w:rFonts w:ascii="Times New Roman" w:hAnsi="Times New Roman" w:cs="Times New Roman"/>
          <w:sz w:val="24"/>
          <w:szCs w:val="24"/>
          <w:shd w:val="clear" w:color="auto" w:fill="FFFFFF"/>
        </w:rPr>
      </w:pPr>
    </w:p>
    <w:p w:rsidR="009B7592" w:rsidRDefault="009B7592" w:rsidP="00F47D29">
      <w:pPr>
        <w:spacing w:after="0" w:line="480" w:lineRule="auto"/>
        <w:ind w:left="720" w:hanging="720"/>
        <w:rPr>
          <w:rFonts w:ascii="Times New Roman" w:hAnsi="Times New Roman" w:cs="Times New Roman"/>
          <w:sz w:val="24"/>
          <w:szCs w:val="24"/>
          <w:shd w:val="clear" w:color="auto" w:fill="FFFFFF"/>
        </w:rPr>
      </w:pPr>
    </w:p>
    <w:p w:rsidR="009B7592" w:rsidRDefault="009B7592" w:rsidP="00F47D29">
      <w:pPr>
        <w:spacing w:after="0" w:line="480" w:lineRule="auto"/>
        <w:ind w:left="720" w:hanging="720"/>
        <w:rPr>
          <w:rFonts w:ascii="Times New Roman" w:hAnsi="Times New Roman" w:cs="Times New Roman"/>
          <w:sz w:val="24"/>
          <w:szCs w:val="24"/>
          <w:shd w:val="clear" w:color="auto" w:fill="FFFFFF"/>
        </w:rPr>
      </w:pPr>
    </w:p>
    <w:p w:rsidR="009B7592" w:rsidRDefault="009B7592" w:rsidP="00F47D29">
      <w:pPr>
        <w:spacing w:after="0" w:line="480" w:lineRule="auto"/>
        <w:ind w:left="720" w:hanging="720"/>
        <w:rPr>
          <w:rFonts w:ascii="Times New Roman" w:hAnsi="Times New Roman" w:cs="Times New Roman"/>
          <w:sz w:val="24"/>
          <w:szCs w:val="24"/>
          <w:shd w:val="clear" w:color="auto" w:fill="FFFFFF"/>
        </w:rPr>
      </w:pPr>
    </w:p>
    <w:p w:rsidR="009B7592" w:rsidRDefault="009B7592" w:rsidP="00F47D29">
      <w:pPr>
        <w:spacing w:after="0" w:line="480" w:lineRule="auto"/>
        <w:ind w:left="720" w:hanging="720"/>
        <w:rPr>
          <w:rFonts w:ascii="Times New Roman" w:hAnsi="Times New Roman" w:cs="Times New Roman"/>
          <w:sz w:val="24"/>
          <w:szCs w:val="24"/>
          <w:shd w:val="clear" w:color="auto" w:fill="FFFFFF"/>
        </w:rPr>
      </w:pPr>
    </w:p>
    <w:p w:rsidR="009B7592" w:rsidRDefault="009B7592" w:rsidP="00F47D29">
      <w:pPr>
        <w:spacing w:after="0" w:line="480" w:lineRule="auto"/>
        <w:ind w:left="720" w:hanging="720"/>
        <w:rPr>
          <w:rFonts w:ascii="Times New Roman" w:hAnsi="Times New Roman" w:cs="Times New Roman"/>
          <w:sz w:val="24"/>
          <w:szCs w:val="24"/>
          <w:shd w:val="clear" w:color="auto" w:fill="FFFFFF"/>
        </w:rPr>
      </w:pPr>
    </w:p>
    <w:p w:rsidR="009B7592" w:rsidRDefault="009B7592" w:rsidP="00F47D29">
      <w:pPr>
        <w:spacing w:after="0" w:line="480" w:lineRule="auto"/>
        <w:ind w:left="720" w:hanging="720"/>
        <w:rPr>
          <w:rFonts w:ascii="Times New Roman" w:hAnsi="Times New Roman" w:cs="Times New Roman"/>
          <w:sz w:val="24"/>
          <w:szCs w:val="24"/>
          <w:shd w:val="clear" w:color="auto" w:fill="FFFFFF"/>
        </w:rPr>
      </w:pPr>
    </w:p>
    <w:p w:rsidR="009B7592" w:rsidRDefault="009B7592" w:rsidP="009B7592">
      <w:pPr>
        <w:spacing w:after="0" w:line="480" w:lineRule="auto"/>
        <w:ind w:left="720" w:hanging="72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References</w:t>
      </w:r>
    </w:p>
    <w:p w:rsidR="009B7592" w:rsidRPr="009B7592" w:rsidRDefault="009B7592" w:rsidP="009B7592">
      <w:pPr>
        <w:pStyle w:val="Bibliography"/>
        <w:spacing w:before="100" w:beforeAutospacing="1" w:after="100" w:afterAutospacing="1" w:line="480" w:lineRule="auto"/>
        <w:ind w:left="1440" w:hanging="720"/>
        <w:contextualSpacing/>
        <w:rPr>
          <w:rFonts w:ascii="Times New Roman" w:hAnsi="Times New Roman" w:cs="Times New Roman"/>
          <w:noProof/>
          <w:sz w:val="24"/>
          <w:szCs w:val="24"/>
        </w:rPr>
      </w:pPr>
      <w:r w:rsidRPr="009B7592">
        <w:rPr>
          <w:rFonts w:ascii="Times New Roman" w:hAnsi="Times New Roman" w:cs="Times New Roman"/>
          <w:sz w:val="24"/>
          <w:szCs w:val="24"/>
          <w:shd w:val="clear" w:color="auto" w:fill="FFFFFF"/>
        </w:rPr>
        <w:lastRenderedPageBreak/>
        <w:fldChar w:fldCharType="begin"/>
      </w:r>
      <w:r w:rsidRPr="009B7592">
        <w:rPr>
          <w:rFonts w:ascii="Times New Roman" w:hAnsi="Times New Roman" w:cs="Times New Roman"/>
          <w:sz w:val="24"/>
          <w:szCs w:val="24"/>
          <w:shd w:val="clear" w:color="auto" w:fill="FFFFFF"/>
        </w:rPr>
        <w:instrText xml:space="preserve"> BIBLIOGRAPHY  \l 1033 </w:instrText>
      </w:r>
      <w:r w:rsidRPr="009B7592">
        <w:rPr>
          <w:rFonts w:ascii="Times New Roman" w:hAnsi="Times New Roman" w:cs="Times New Roman"/>
          <w:sz w:val="24"/>
          <w:szCs w:val="24"/>
          <w:shd w:val="clear" w:color="auto" w:fill="FFFFFF"/>
        </w:rPr>
        <w:fldChar w:fldCharType="separate"/>
      </w:r>
      <w:r w:rsidRPr="009B7592">
        <w:rPr>
          <w:rFonts w:ascii="Times New Roman" w:hAnsi="Times New Roman" w:cs="Times New Roman"/>
          <w:noProof/>
          <w:sz w:val="24"/>
          <w:szCs w:val="24"/>
        </w:rPr>
        <w:t xml:space="preserve">Barnes, P. a. (2006). The Analysis and Use of Financial Ratios: A Review Article. </w:t>
      </w:r>
      <w:r w:rsidRPr="009B7592">
        <w:rPr>
          <w:rFonts w:ascii="Times New Roman" w:hAnsi="Times New Roman" w:cs="Times New Roman"/>
          <w:i/>
          <w:iCs/>
          <w:noProof/>
          <w:sz w:val="24"/>
          <w:szCs w:val="24"/>
        </w:rPr>
        <w:t>Journal of Business Finance &amp; Accounting, 14</w:t>
      </w:r>
      <w:r w:rsidRPr="009B7592">
        <w:rPr>
          <w:rFonts w:ascii="Times New Roman" w:hAnsi="Times New Roman" w:cs="Times New Roman"/>
          <w:noProof/>
          <w:sz w:val="24"/>
          <w:szCs w:val="24"/>
        </w:rPr>
        <w:t>(4), 449-461. doi:10.1111/j.1468-5957.1987.tb00106.x</w:t>
      </w:r>
    </w:p>
    <w:p w:rsidR="009B7592" w:rsidRPr="009B7592" w:rsidRDefault="009B7592" w:rsidP="009B7592">
      <w:pPr>
        <w:pStyle w:val="Bibliography"/>
        <w:spacing w:before="100" w:beforeAutospacing="1" w:after="100" w:afterAutospacing="1" w:line="480" w:lineRule="auto"/>
        <w:ind w:left="1440" w:hanging="720"/>
        <w:contextualSpacing/>
        <w:rPr>
          <w:rFonts w:ascii="Times New Roman" w:hAnsi="Times New Roman" w:cs="Times New Roman"/>
          <w:noProof/>
          <w:sz w:val="24"/>
          <w:szCs w:val="24"/>
        </w:rPr>
      </w:pPr>
      <w:r w:rsidRPr="009B7592">
        <w:rPr>
          <w:rFonts w:ascii="Times New Roman" w:hAnsi="Times New Roman" w:cs="Times New Roman"/>
          <w:noProof/>
          <w:sz w:val="24"/>
          <w:szCs w:val="24"/>
        </w:rPr>
        <w:t xml:space="preserve">Borhan, H., Mohamed, R. N., &amp; Azmi, N. (2014). The impact of financial ratios on the financial performance of a chemical company. </w:t>
      </w:r>
      <w:r w:rsidRPr="009B7592">
        <w:rPr>
          <w:rFonts w:ascii="Times New Roman" w:hAnsi="Times New Roman" w:cs="Times New Roman"/>
          <w:i/>
          <w:iCs/>
          <w:noProof/>
          <w:sz w:val="24"/>
          <w:szCs w:val="24"/>
        </w:rPr>
        <w:t>World Journal of Entrepreneurship Management and Sustainable Development, 10</w:t>
      </w:r>
      <w:r w:rsidRPr="009B7592">
        <w:rPr>
          <w:rFonts w:ascii="Times New Roman" w:hAnsi="Times New Roman" w:cs="Times New Roman"/>
          <w:noProof/>
          <w:sz w:val="24"/>
          <w:szCs w:val="24"/>
        </w:rPr>
        <w:t>(2), 154-160. doi:10.1108/WJEMSD-07-2013-0041</w:t>
      </w:r>
    </w:p>
    <w:p w:rsidR="009B7592" w:rsidRPr="009B7592" w:rsidRDefault="009B7592" w:rsidP="009B7592">
      <w:pPr>
        <w:pStyle w:val="Bibliography"/>
        <w:spacing w:before="100" w:beforeAutospacing="1" w:after="100" w:afterAutospacing="1" w:line="480" w:lineRule="auto"/>
        <w:ind w:left="1440" w:hanging="720"/>
        <w:contextualSpacing/>
        <w:rPr>
          <w:rFonts w:ascii="Times New Roman" w:hAnsi="Times New Roman" w:cs="Times New Roman"/>
          <w:noProof/>
          <w:sz w:val="24"/>
          <w:szCs w:val="24"/>
        </w:rPr>
      </w:pPr>
      <w:r w:rsidRPr="009B7592">
        <w:rPr>
          <w:rFonts w:ascii="Times New Roman" w:hAnsi="Times New Roman" w:cs="Times New Roman"/>
          <w:noProof/>
          <w:sz w:val="24"/>
          <w:szCs w:val="24"/>
        </w:rPr>
        <w:t xml:space="preserve">Khan, M. I. (2019). Re-Classification of Financial Ratios. </w:t>
      </w:r>
      <w:r w:rsidRPr="009B7592">
        <w:rPr>
          <w:rFonts w:ascii="Times New Roman" w:hAnsi="Times New Roman" w:cs="Times New Roman"/>
          <w:i/>
          <w:iCs/>
          <w:noProof/>
          <w:sz w:val="24"/>
          <w:szCs w:val="24"/>
        </w:rPr>
        <w:t>Conference: ICBSI 2018 - International Conference on Business Sustainability and Innovation</w:t>
      </w:r>
      <w:r w:rsidRPr="009B7592">
        <w:rPr>
          <w:rFonts w:ascii="Times New Roman" w:hAnsi="Times New Roman" w:cs="Times New Roman"/>
          <w:noProof/>
          <w:sz w:val="24"/>
          <w:szCs w:val="24"/>
        </w:rPr>
        <w:t>. doi:10.15405/epsbs.2019.08.4</w:t>
      </w:r>
    </w:p>
    <w:p w:rsidR="009B7592" w:rsidRPr="009B7592" w:rsidRDefault="009B7592" w:rsidP="009B7592">
      <w:pPr>
        <w:pStyle w:val="Bibliography"/>
        <w:spacing w:before="100" w:beforeAutospacing="1" w:after="100" w:afterAutospacing="1" w:line="480" w:lineRule="auto"/>
        <w:ind w:left="1440" w:hanging="720"/>
        <w:contextualSpacing/>
        <w:rPr>
          <w:rFonts w:ascii="Times New Roman" w:hAnsi="Times New Roman" w:cs="Times New Roman"/>
          <w:noProof/>
          <w:sz w:val="24"/>
          <w:szCs w:val="24"/>
        </w:rPr>
      </w:pPr>
      <w:r w:rsidRPr="009B7592">
        <w:rPr>
          <w:rFonts w:ascii="Times New Roman" w:hAnsi="Times New Roman" w:cs="Times New Roman"/>
          <w:noProof/>
          <w:sz w:val="24"/>
          <w:szCs w:val="24"/>
        </w:rPr>
        <w:t>Li, J. (2019). Research on Limitations of Financial Statement Analysis: Based on Data of Listed Companies. doi:DOI: 10.2991/aebmr.k.191225.066</w:t>
      </w:r>
    </w:p>
    <w:p w:rsidR="008942D1" w:rsidRPr="009B7592" w:rsidRDefault="009B7592" w:rsidP="009B7592">
      <w:pPr>
        <w:spacing w:before="100" w:beforeAutospacing="1" w:after="100" w:afterAutospacing="1" w:line="480" w:lineRule="auto"/>
        <w:ind w:left="1440" w:hanging="720"/>
        <w:contextualSpacing/>
        <w:rPr>
          <w:rFonts w:ascii="Times New Roman" w:hAnsi="Times New Roman" w:cs="Times New Roman"/>
          <w:sz w:val="24"/>
          <w:szCs w:val="24"/>
          <w:shd w:val="clear" w:color="auto" w:fill="FFFFFF"/>
        </w:rPr>
      </w:pPr>
      <w:r w:rsidRPr="009B7592">
        <w:rPr>
          <w:rFonts w:ascii="Times New Roman" w:hAnsi="Times New Roman" w:cs="Times New Roman"/>
          <w:sz w:val="24"/>
          <w:szCs w:val="24"/>
          <w:shd w:val="clear" w:color="auto" w:fill="FFFFFF"/>
        </w:rPr>
        <w:fldChar w:fldCharType="end"/>
      </w:r>
      <w:r w:rsidR="008942D1" w:rsidRPr="009B7592">
        <w:rPr>
          <w:rFonts w:ascii="Times New Roman" w:hAnsi="Times New Roman" w:cs="Times New Roman"/>
          <w:sz w:val="24"/>
          <w:szCs w:val="24"/>
          <w:shd w:val="clear" w:color="auto" w:fill="FFFFFF"/>
        </w:rPr>
        <w:t>http://investors.brinker.com/static-files/bfa1b058-d2b2-4798-b23c-d44dd14dfd2f</w:t>
      </w:r>
      <w:bookmarkEnd w:id="0"/>
    </w:p>
    <w:sectPr w:rsidR="008942D1" w:rsidRPr="009B7592">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20E5" w:rsidRDefault="007120E5">
      <w:pPr>
        <w:spacing w:after="0" w:line="240" w:lineRule="auto"/>
      </w:pPr>
      <w:r>
        <w:separator/>
      </w:r>
    </w:p>
  </w:endnote>
  <w:endnote w:type="continuationSeparator" w:id="0">
    <w:p w:rsidR="007120E5" w:rsidRDefault="007120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nionPro-Regular">
    <w:altName w:val="SimSun"/>
    <w:panose1 w:val="00000000000000000000"/>
    <w:charset w:val="86"/>
    <w:family w:val="roman"/>
    <w:notTrueType/>
    <w:pitch w:val="default"/>
    <w:sig w:usb0="00000001" w:usb1="080E0000" w:usb2="00000010" w:usb3="00000000" w:csb0="00040000" w:csb1="00000000"/>
  </w:font>
  <w:font w:name="Calibri">
    <w:panose1 w:val="020F0502020204030204"/>
    <w:charset w:val="00"/>
    <w:family w:val="swiss"/>
    <w:pitch w:val="variable"/>
    <w:sig w:usb0="E00002FF" w:usb1="4000ACFF" w:usb2="00000001" w:usb3="00000000" w:csb0="0000019F" w:csb1="00000000"/>
  </w:font>
  <w:font w:name="Calibri Light">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20E5" w:rsidRDefault="007120E5">
      <w:pPr>
        <w:spacing w:after="0" w:line="240" w:lineRule="auto"/>
      </w:pPr>
      <w:r>
        <w:separator/>
      </w:r>
    </w:p>
  </w:footnote>
  <w:footnote w:type="continuationSeparator" w:id="0">
    <w:p w:rsidR="007120E5" w:rsidRDefault="007120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07941250"/>
      <w:docPartObj>
        <w:docPartGallery w:val="Page Numbers (Top of Page)"/>
        <w:docPartUnique/>
      </w:docPartObj>
    </w:sdtPr>
    <w:sdtEndPr>
      <w:rPr>
        <w:noProof/>
      </w:rPr>
    </w:sdtEndPr>
    <w:sdtContent>
      <w:p w:rsidR="00BD1C6F" w:rsidRPr="007C10C0" w:rsidRDefault="00BD1C6F">
        <w:pPr>
          <w:pStyle w:val="Header"/>
          <w:jc w:val="right"/>
          <w:rPr>
            <w:rFonts w:ascii="Times New Roman" w:hAnsi="Times New Roman" w:cs="Times New Roman"/>
            <w:sz w:val="24"/>
            <w:szCs w:val="24"/>
          </w:rPr>
        </w:pPr>
        <w:r>
          <w:rPr>
            <w:rFonts w:ascii="Times New Roman" w:hAnsi="Times New Roman" w:cs="Times New Roman"/>
            <w:sz w:val="24"/>
            <w:szCs w:val="24"/>
          </w:rPr>
          <w:t xml:space="preserve"> </w:t>
        </w:r>
        <w:r w:rsidRPr="007C10C0">
          <w:rPr>
            <w:rFonts w:ascii="Times New Roman" w:hAnsi="Times New Roman" w:cs="Times New Roman"/>
            <w:sz w:val="24"/>
            <w:szCs w:val="24"/>
          </w:rPr>
          <w:fldChar w:fldCharType="begin"/>
        </w:r>
        <w:r w:rsidRPr="007C10C0">
          <w:rPr>
            <w:rFonts w:ascii="Times New Roman" w:hAnsi="Times New Roman" w:cs="Times New Roman"/>
            <w:sz w:val="24"/>
            <w:szCs w:val="24"/>
          </w:rPr>
          <w:instrText xml:space="preserve"> PAGE   \* MERGEFORMAT </w:instrText>
        </w:r>
        <w:r w:rsidRPr="007C10C0">
          <w:rPr>
            <w:rFonts w:ascii="Times New Roman" w:hAnsi="Times New Roman" w:cs="Times New Roman"/>
            <w:sz w:val="24"/>
            <w:szCs w:val="24"/>
          </w:rPr>
          <w:fldChar w:fldCharType="separate"/>
        </w:r>
        <w:r w:rsidR="009B7592">
          <w:rPr>
            <w:rFonts w:ascii="Times New Roman" w:hAnsi="Times New Roman" w:cs="Times New Roman"/>
            <w:noProof/>
            <w:sz w:val="24"/>
            <w:szCs w:val="24"/>
          </w:rPr>
          <w:t>15</w:t>
        </w:r>
        <w:r w:rsidRPr="007C10C0">
          <w:rPr>
            <w:rFonts w:ascii="Times New Roman" w:hAnsi="Times New Roman" w:cs="Times New Roman"/>
            <w:noProof/>
            <w:sz w:val="24"/>
            <w:szCs w:val="24"/>
          </w:rPr>
          <w:fldChar w:fldCharType="end"/>
        </w:r>
      </w:p>
    </w:sdtContent>
  </w:sdt>
  <w:p w:rsidR="00BD1C6F" w:rsidRPr="007C10C0" w:rsidRDefault="00BD1C6F">
    <w:pPr>
      <w:pStyle w:val="Header"/>
      <w:rPr>
        <w:rFonts w:ascii="Times New Roman" w:hAnsi="Times New Roman" w:cs="Times New Roman"/>
        <w:sz w:val="24"/>
        <w:szCs w:val="24"/>
      </w:rPr>
    </w:pPr>
    <w:r>
      <w:rPr>
        <w:rFonts w:ascii="Times New Roman" w:hAnsi="Times New Roman" w:cs="Times New Roman"/>
        <w:sz w:val="24"/>
        <w:szCs w:val="24"/>
      </w:rPr>
      <w:t>BRINKER INTERNATION ANNUAL REPORT 2020</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AB28A6"/>
    <w:multiLevelType w:val="multilevel"/>
    <w:tmpl w:val="4BAA2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D6014D"/>
    <w:multiLevelType w:val="multilevel"/>
    <w:tmpl w:val="311676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28D7105"/>
    <w:multiLevelType w:val="multilevel"/>
    <w:tmpl w:val="4B3E0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7249DD"/>
    <w:multiLevelType w:val="hybridMultilevel"/>
    <w:tmpl w:val="9346583C"/>
    <w:lvl w:ilvl="0" w:tplc="18D634B2">
      <w:start w:val="1"/>
      <w:numFmt w:val="decimal"/>
      <w:lvlText w:val="%1."/>
      <w:lvlJc w:val="left"/>
      <w:pPr>
        <w:ind w:left="720" w:hanging="360"/>
      </w:pPr>
      <w:rPr>
        <w:rFonts w:hint="default"/>
      </w:rPr>
    </w:lvl>
    <w:lvl w:ilvl="1" w:tplc="1C206DBA" w:tentative="1">
      <w:start w:val="1"/>
      <w:numFmt w:val="lowerLetter"/>
      <w:lvlText w:val="%2."/>
      <w:lvlJc w:val="left"/>
      <w:pPr>
        <w:ind w:left="1440" w:hanging="360"/>
      </w:pPr>
    </w:lvl>
    <w:lvl w:ilvl="2" w:tplc="0102123C" w:tentative="1">
      <w:start w:val="1"/>
      <w:numFmt w:val="lowerRoman"/>
      <w:lvlText w:val="%3."/>
      <w:lvlJc w:val="right"/>
      <w:pPr>
        <w:ind w:left="2160" w:hanging="180"/>
      </w:pPr>
    </w:lvl>
    <w:lvl w:ilvl="3" w:tplc="C4BE49B2" w:tentative="1">
      <w:start w:val="1"/>
      <w:numFmt w:val="decimal"/>
      <w:lvlText w:val="%4."/>
      <w:lvlJc w:val="left"/>
      <w:pPr>
        <w:ind w:left="2880" w:hanging="360"/>
      </w:pPr>
    </w:lvl>
    <w:lvl w:ilvl="4" w:tplc="B4BE7ACA" w:tentative="1">
      <w:start w:val="1"/>
      <w:numFmt w:val="lowerLetter"/>
      <w:lvlText w:val="%5."/>
      <w:lvlJc w:val="left"/>
      <w:pPr>
        <w:ind w:left="3600" w:hanging="360"/>
      </w:pPr>
    </w:lvl>
    <w:lvl w:ilvl="5" w:tplc="145ECC94" w:tentative="1">
      <w:start w:val="1"/>
      <w:numFmt w:val="lowerRoman"/>
      <w:lvlText w:val="%6."/>
      <w:lvlJc w:val="right"/>
      <w:pPr>
        <w:ind w:left="4320" w:hanging="180"/>
      </w:pPr>
    </w:lvl>
    <w:lvl w:ilvl="6" w:tplc="C6D6B2EC" w:tentative="1">
      <w:start w:val="1"/>
      <w:numFmt w:val="decimal"/>
      <w:lvlText w:val="%7."/>
      <w:lvlJc w:val="left"/>
      <w:pPr>
        <w:ind w:left="5040" w:hanging="360"/>
      </w:pPr>
    </w:lvl>
    <w:lvl w:ilvl="7" w:tplc="9C666892" w:tentative="1">
      <w:start w:val="1"/>
      <w:numFmt w:val="lowerLetter"/>
      <w:lvlText w:val="%8."/>
      <w:lvlJc w:val="left"/>
      <w:pPr>
        <w:ind w:left="5760" w:hanging="360"/>
      </w:pPr>
    </w:lvl>
    <w:lvl w:ilvl="8" w:tplc="24E0EE42" w:tentative="1">
      <w:start w:val="1"/>
      <w:numFmt w:val="lowerRoman"/>
      <w:lvlText w:val="%9."/>
      <w:lvlJc w:val="right"/>
      <w:pPr>
        <w:ind w:left="6480" w:hanging="180"/>
      </w:pPr>
    </w:lvl>
  </w:abstractNum>
  <w:abstractNum w:abstractNumId="4" w15:restartNumberingAfterBreak="0">
    <w:nsid w:val="188B46EE"/>
    <w:multiLevelType w:val="multilevel"/>
    <w:tmpl w:val="BF6AEA4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D4235C0"/>
    <w:multiLevelType w:val="hybridMultilevel"/>
    <w:tmpl w:val="AF04CF9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BD843AF"/>
    <w:multiLevelType w:val="hybridMultilevel"/>
    <w:tmpl w:val="94B4467E"/>
    <w:lvl w:ilvl="0" w:tplc="3762F254">
      <w:start w:val="1"/>
      <w:numFmt w:val="decimal"/>
      <w:lvlText w:val="%1."/>
      <w:lvlJc w:val="left"/>
      <w:pPr>
        <w:ind w:left="720" w:hanging="360"/>
      </w:pPr>
      <w:rPr>
        <w:rFonts w:hint="default"/>
      </w:rPr>
    </w:lvl>
    <w:lvl w:ilvl="1" w:tplc="1F009942" w:tentative="1">
      <w:start w:val="1"/>
      <w:numFmt w:val="lowerLetter"/>
      <w:lvlText w:val="%2."/>
      <w:lvlJc w:val="left"/>
      <w:pPr>
        <w:ind w:left="1440" w:hanging="360"/>
      </w:pPr>
    </w:lvl>
    <w:lvl w:ilvl="2" w:tplc="2182C88E" w:tentative="1">
      <w:start w:val="1"/>
      <w:numFmt w:val="lowerRoman"/>
      <w:lvlText w:val="%3."/>
      <w:lvlJc w:val="right"/>
      <w:pPr>
        <w:ind w:left="2160" w:hanging="180"/>
      </w:pPr>
    </w:lvl>
    <w:lvl w:ilvl="3" w:tplc="98545A5A" w:tentative="1">
      <w:start w:val="1"/>
      <w:numFmt w:val="decimal"/>
      <w:lvlText w:val="%4."/>
      <w:lvlJc w:val="left"/>
      <w:pPr>
        <w:ind w:left="2880" w:hanging="360"/>
      </w:pPr>
    </w:lvl>
    <w:lvl w:ilvl="4" w:tplc="C8D2B95C" w:tentative="1">
      <w:start w:val="1"/>
      <w:numFmt w:val="lowerLetter"/>
      <w:lvlText w:val="%5."/>
      <w:lvlJc w:val="left"/>
      <w:pPr>
        <w:ind w:left="3600" w:hanging="360"/>
      </w:pPr>
    </w:lvl>
    <w:lvl w:ilvl="5" w:tplc="88685F64" w:tentative="1">
      <w:start w:val="1"/>
      <w:numFmt w:val="lowerRoman"/>
      <w:lvlText w:val="%6."/>
      <w:lvlJc w:val="right"/>
      <w:pPr>
        <w:ind w:left="4320" w:hanging="180"/>
      </w:pPr>
    </w:lvl>
    <w:lvl w:ilvl="6" w:tplc="01F2EFD6" w:tentative="1">
      <w:start w:val="1"/>
      <w:numFmt w:val="decimal"/>
      <w:lvlText w:val="%7."/>
      <w:lvlJc w:val="left"/>
      <w:pPr>
        <w:ind w:left="5040" w:hanging="360"/>
      </w:pPr>
    </w:lvl>
    <w:lvl w:ilvl="7" w:tplc="A37EB2BC" w:tentative="1">
      <w:start w:val="1"/>
      <w:numFmt w:val="lowerLetter"/>
      <w:lvlText w:val="%8."/>
      <w:lvlJc w:val="left"/>
      <w:pPr>
        <w:ind w:left="5760" w:hanging="360"/>
      </w:pPr>
    </w:lvl>
    <w:lvl w:ilvl="8" w:tplc="51A0F42C" w:tentative="1">
      <w:start w:val="1"/>
      <w:numFmt w:val="lowerRoman"/>
      <w:lvlText w:val="%9."/>
      <w:lvlJc w:val="right"/>
      <w:pPr>
        <w:ind w:left="6480" w:hanging="180"/>
      </w:pPr>
    </w:lvl>
  </w:abstractNum>
  <w:abstractNum w:abstractNumId="7" w15:restartNumberingAfterBreak="0">
    <w:nsid w:val="33C71717"/>
    <w:multiLevelType w:val="multilevel"/>
    <w:tmpl w:val="E1CAB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A644C68"/>
    <w:multiLevelType w:val="hybridMultilevel"/>
    <w:tmpl w:val="54AA5446"/>
    <w:lvl w:ilvl="0" w:tplc="F60CC468">
      <w:start w:val="1"/>
      <w:numFmt w:val="upperRoman"/>
      <w:lvlText w:val="%1."/>
      <w:lvlJc w:val="left"/>
      <w:pPr>
        <w:ind w:left="1080" w:hanging="720"/>
      </w:pPr>
      <w:rPr>
        <w:rFonts w:eastAsia="MinionPro-Regular"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09A0802"/>
    <w:multiLevelType w:val="multilevel"/>
    <w:tmpl w:val="D7F215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0FA74BB"/>
    <w:multiLevelType w:val="multilevel"/>
    <w:tmpl w:val="F9EED6F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FA119B0"/>
    <w:multiLevelType w:val="hybridMultilevel"/>
    <w:tmpl w:val="D65E729C"/>
    <w:lvl w:ilvl="0" w:tplc="FDC06A0A">
      <w:start w:val="1"/>
      <w:numFmt w:val="decimal"/>
      <w:lvlText w:val="%1."/>
      <w:lvlJc w:val="left"/>
      <w:pPr>
        <w:ind w:left="720" w:hanging="360"/>
      </w:pPr>
      <w:rPr>
        <w:rFonts w:hint="default"/>
      </w:rPr>
    </w:lvl>
    <w:lvl w:ilvl="1" w:tplc="67720E76" w:tentative="1">
      <w:start w:val="1"/>
      <w:numFmt w:val="lowerLetter"/>
      <w:lvlText w:val="%2."/>
      <w:lvlJc w:val="left"/>
      <w:pPr>
        <w:ind w:left="1440" w:hanging="360"/>
      </w:pPr>
    </w:lvl>
    <w:lvl w:ilvl="2" w:tplc="1FE02780" w:tentative="1">
      <w:start w:val="1"/>
      <w:numFmt w:val="lowerRoman"/>
      <w:lvlText w:val="%3."/>
      <w:lvlJc w:val="right"/>
      <w:pPr>
        <w:ind w:left="2160" w:hanging="180"/>
      </w:pPr>
    </w:lvl>
    <w:lvl w:ilvl="3" w:tplc="BE3EEF6A" w:tentative="1">
      <w:start w:val="1"/>
      <w:numFmt w:val="decimal"/>
      <w:lvlText w:val="%4."/>
      <w:lvlJc w:val="left"/>
      <w:pPr>
        <w:ind w:left="2880" w:hanging="360"/>
      </w:pPr>
    </w:lvl>
    <w:lvl w:ilvl="4" w:tplc="3D320D64" w:tentative="1">
      <w:start w:val="1"/>
      <w:numFmt w:val="lowerLetter"/>
      <w:lvlText w:val="%5."/>
      <w:lvlJc w:val="left"/>
      <w:pPr>
        <w:ind w:left="3600" w:hanging="360"/>
      </w:pPr>
    </w:lvl>
    <w:lvl w:ilvl="5" w:tplc="2202037C" w:tentative="1">
      <w:start w:val="1"/>
      <w:numFmt w:val="lowerRoman"/>
      <w:lvlText w:val="%6."/>
      <w:lvlJc w:val="right"/>
      <w:pPr>
        <w:ind w:left="4320" w:hanging="180"/>
      </w:pPr>
    </w:lvl>
    <w:lvl w:ilvl="6" w:tplc="20AA9B2A" w:tentative="1">
      <w:start w:val="1"/>
      <w:numFmt w:val="decimal"/>
      <w:lvlText w:val="%7."/>
      <w:lvlJc w:val="left"/>
      <w:pPr>
        <w:ind w:left="5040" w:hanging="360"/>
      </w:pPr>
    </w:lvl>
    <w:lvl w:ilvl="7" w:tplc="26FE4516" w:tentative="1">
      <w:start w:val="1"/>
      <w:numFmt w:val="lowerLetter"/>
      <w:lvlText w:val="%8."/>
      <w:lvlJc w:val="left"/>
      <w:pPr>
        <w:ind w:left="5760" w:hanging="360"/>
      </w:pPr>
    </w:lvl>
    <w:lvl w:ilvl="8" w:tplc="DC5AEC34" w:tentative="1">
      <w:start w:val="1"/>
      <w:numFmt w:val="lowerRoman"/>
      <w:lvlText w:val="%9."/>
      <w:lvlJc w:val="right"/>
      <w:pPr>
        <w:ind w:left="6480" w:hanging="180"/>
      </w:pPr>
    </w:lvl>
  </w:abstractNum>
  <w:abstractNum w:abstractNumId="12" w15:restartNumberingAfterBreak="0">
    <w:nsid w:val="5131170F"/>
    <w:multiLevelType w:val="hybridMultilevel"/>
    <w:tmpl w:val="76C03A82"/>
    <w:lvl w:ilvl="0" w:tplc="D312F646">
      <w:start w:val="1"/>
      <w:numFmt w:val="decimal"/>
      <w:lvlText w:val="%1."/>
      <w:lvlJc w:val="left"/>
      <w:pPr>
        <w:ind w:left="720" w:hanging="360"/>
      </w:pPr>
      <w:rPr>
        <w:rFonts w:hint="default"/>
        <w:b/>
      </w:rPr>
    </w:lvl>
    <w:lvl w:ilvl="1" w:tplc="983819FC" w:tentative="1">
      <w:start w:val="1"/>
      <w:numFmt w:val="lowerLetter"/>
      <w:lvlText w:val="%2."/>
      <w:lvlJc w:val="left"/>
      <w:pPr>
        <w:ind w:left="1440" w:hanging="360"/>
      </w:pPr>
    </w:lvl>
    <w:lvl w:ilvl="2" w:tplc="1F78B1B4" w:tentative="1">
      <w:start w:val="1"/>
      <w:numFmt w:val="lowerRoman"/>
      <w:lvlText w:val="%3."/>
      <w:lvlJc w:val="right"/>
      <w:pPr>
        <w:ind w:left="2160" w:hanging="180"/>
      </w:pPr>
    </w:lvl>
    <w:lvl w:ilvl="3" w:tplc="E006E208" w:tentative="1">
      <w:start w:val="1"/>
      <w:numFmt w:val="decimal"/>
      <w:lvlText w:val="%4."/>
      <w:lvlJc w:val="left"/>
      <w:pPr>
        <w:ind w:left="2880" w:hanging="360"/>
      </w:pPr>
    </w:lvl>
    <w:lvl w:ilvl="4" w:tplc="D124FAAA" w:tentative="1">
      <w:start w:val="1"/>
      <w:numFmt w:val="lowerLetter"/>
      <w:lvlText w:val="%5."/>
      <w:lvlJc w:val="left"/>
      <w:pPr>
        <w:ind w:left="3600" w:hanging="360"/>
      </w:pPr>
    </w:lvl>
    <w:lvl w:ilvl="5" w:tplc="10700232" w:tentative="1">
      <w:start w:val="1"/>
      <w:numFmt w:val="lowerRoman"/>
      <w:lvlText w:val="%6."/>
      <w:lvlJc w:val="right"/>
      <w:pPr>
        <w:ind w:left="4320" w:hanging="180"/>
      </w:pPr>
    </w:lvl>
    <w:lvl w:ilvl="6" w:tplc="A178F4A4" w:tentative="1">
      <w:start w:val="1"/>
      <w:numFmt w:val="decimal"/>
      <w:lvlText w:val="%7."/>
      <w:lvlJc w:val="left"/>
      <w:pPr>
        <w:ind w:left="5040" w:hanging="360"/>
      </w:pPr>
    </w:lvl>
    <w:lvl w:ilvl="7" w:tplc="B9B4CCEC" w:tentative="1">
      <w:start w:val="1"/>
      <w:numFmt w:val="lowerLetter"/>
      <w:lvlText w:val="%8."/>
      <w:lvlJc w:val="left"/>
      <w:pPr>
        <w:ind w:left="5760" w:hanging="360"/>
      </w:pPr>
    </w:lvl>
    <w:lvl w:ilvl="8" w:tplc="17AC62E8" w:tentative="1">
      <w:start w:val="1"/>
      <w:numFmt w:val="lowerRoman"/>
      <w:lvlText w:val="%9."/>
      <w:lvlJc w:val="right"/>
      <w:pPr>
        <w:ind w:left="6480" w:hanging="180"/>
      </w:pPr>
    </w:lvl>
  </w:abstractNum>
  <w:abstractNum w:abstractNumId="13" w15:restartNumberingAfterBreak="0">
    <w:nsid w:val="58F62E32"/>
    <w:multiLevelType w:val="hybridMultilevel"/>
    <w:tmpl w:val="F434F3C2"/>
    <w:lvl w:ilvl="0" w:tplc="236AE216">
      <w:start w:val="1"/>
      <w:numFmt w:val="lowerRoman"/>
      <w:lvlText w:val="%1."/>
      <w:lvlJc w:val="left"/>
      <w:pPr>
        <w:ind w:left="1080" w:hanging="720"/>
      </w:pPr>
      <w:rPr>
        <w:rFonts w:eastAsia="MinionPro-Regular"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A8A2BAD"/>
    <w:multiLevelType w:val="hybridMultilevel"/>
    <w:tmpl w:val="9A2AE79C"/>
    <w:lvl w:ilvl="0" w:tplc="D75A34C4">
      <w:start w:val="1"/>
      <w:numFmt w:val="decimal"/>
      <w:lvlText w:val="%1."/>
      <w:lvlJc w:val="left"/>
      <w:pPr>
        <w:ind w:left="720" w:hanging="360"/>
      </w:pPr>
      <w:rPr>
        <w:rFonts w:hint="default"/>
      </w:rPr>
    </w:lvl>
    <w:lvl w:ilvl="1" w:tplc="D444F6AC" w:tentative="1">
      <w:start w:val="1"/>
      <w:numFmt w:val="lowerLetter"/>
      <w:lvlText w:val="%2."/>
      <w:lvlJc w:val="left"/>
      <w:pPr>
        <w:ind w:left="1440" w:hanging="360"/>
      </w:pPr>
    </w:lvl>
    <w:lvl w:ilvl="2" w:tplc="DD386DEA" w:tentative="1">
      <w:start w:val="1"/>
      <w:numFmt w:val="lowerRoman"/>
      <w:lvlText w:val="%3."/>
      <w:lvlJc w:val="right"/>
      <w:pPr>
        <w:ind w:left="2160" w:hanging="180"/>
      </w:pPr>
    </w:lvl>
    <w:lvl w:ilvl="3" w:tplc="23A857B4" w:tentative="1">
      <w:start w:val="1"/>
      <w:numFmt w:val="decimal"/>
      <w:lvlText w:val="%4."/>
      <w:lvlJc w:val="left"/>
      <w:pPr>
        <w:ind w:left="2880" w:hanging="360"/>
      </w:pPr>
    </w:lvl>
    <w:lvl w:ilvl="4" w:tplc="18EA3154" w:tentative="1">
      <w:start w:val="1"/>
      <w:numFmt w:val="lowerLetter"/>
      <w:lvlText w:val="%5."/>
      <w:lvlJc w:val="left"/>
      <w:pPr>
        <w:ind w:left="3600" w:hanging="360"/>
      </w:pPr>
    </w:lvl>
    <w:lvl w:ilvl="5" w:tplc="BB88E878" w:tentative="1">
      <w:start w:val="1"/>
      <w:numFmt w:val="lowerRoman"/>
      <w:lvlText w:val="%6."/>
      <w:lvlJc w:val="right"/>
      <w:pPr>
        <w:ind w:left="4320" w:hanging="180"/>
      </w:pPr>
    </w:lvl>
    <w:lvl w:ilvl="6" w:tplc="CF1CFFDA" w:tentative="1">
      <w:start w:val="1"/>
      <w:numFmt w:val="decimal"/>
      <w:lvlText w:val="%7."/>
      <w:lvlJc w:val="left"/>
      <w:pPr>
        <w:ind w:left="5040" w:hanging="360"/>
      </w:pPr>
    </w:lvl>
    <w:lvl w:ilvl="7" w:tplc="D45E914A" w:tentative="1">
      <w:start w:val="1"/>
      <w:numFmt w:val="lowerLetter"/>
      <w:lvlText w:val="%8."/>
      <w:lvlJc w:val="left"/>
      <w:pPr>
        <w:ind w:left="5760" w:hanging="360"/>
      </w:pPr>
    </w:lvl>
    <w:lvl w:ilvl="8" w:tplc="70D646B8" w:tentative="1">
      <w:start w:val="1"/>
      <w:numFmt w:val="lowerRoman"/>
      <w:lvlText w:val="%9."/>
      <w:lvlJc w:val="right"/>
      <w:pPr>
        <w:ind w:left="6480" w:hanging="180"/>
      </w:pPr>
    </w:lvl>
  </w:abstractNum>
  <w:abstractNum w:abstractNumId="15" w15:restartNumberingAfterBreak="0">
    <w:nsid w:val="680A0283"/>
    <w:multiLevelType w:val="multilevel"/>
    <w:tmpl w:val="39503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D285F6A"/>
    <w:multiLevelType w:val="multilevel"/>
    <w:tmpl w:val="708E5C5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DCE364E"/>
    <w:multiLevelType w:val="multilevel"/>
    <w:tmpl w:val="FD845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19C2D74"/>
    <w:multiLevelType w:val="hybridMultilevel"/>
    <w:tmpl w:val="0E0EA8D8"/>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
  </w:num>
  <w:num w:numId="2">
    <w:abstractNumId w:val="14"/>
  </w:num>
  <w:num w:numId="3">
    <w:abstractNumId w:val="6"/>
  </w:num>
  <w:num w:numId="4">
    <w:abstractNumId w:val="11"/>
  </w:num>
  <w:num w:numId="5">
    <w:abstractNumId w:val="1"/>
  </w:num>
  <w:num w:numId="6">
    <w:abstractNumId w:val="15"/>
  </w:num>
  <w:num w:numId="7">
    <w:abstractNumId w:val="10"/>
  </w:num>
  <w:num w:numId="8">
    <w:abstractNumId w:val="16"/>
  </w:num>
  <w:num w:numId="9">
    <w:abstractNumId w:val="4"/>
  </w:num>
  <w:num w:numId="10">
    <w:abstractNumId w:val="0"/>
  </w:num>
  <w:num w:numId="11">
    <w:abstractNumId w:val="17"/>
  </w:num>
  <w:num w:numId="12">
    <w:abstractNumId w:val="9"/>
  </w:num>
  <w:num w:numId="13">
    <w:abstractNumId w:val="12"/>
  </w:num>
  <w:num w:numId="14">
    <w:abstractNumId w:val="3"/>
  </w:num>
  <w:num w:numId="15">
    <w:abstractNumId w:val="7"/>
  </w:num>
  <w:num w:numId="16">
    <w:abstractNumId w:val="8"/>
  </w:num>
  <w:num w:numId="17">
    <w:abstractNumId w:val="13"/>
  </w:num>
  <w:num w:numId="18">
    <w:abstractNumId w:val="5"/>
  </w:num>
  <w:num w:numId="1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activeWritingStyle w:appName="MSWord" w:lang="en-US" w:vendorID="64" w:dllVersion="131078"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Te2MDC3NLGwNDMytDRV0lEKTi0uzszPAykwqgUAEANftywAAAA="/>
  </w:docVars>
  <w:rsids>
    <w:rsidRoot w:val="00BC7EA7"/>
    <w:rsid w:val="00001A2E"/>
    <w:rsid w:val="00002953"/>
    <w:rsid w:val="000034C2"/>
    <w:rsid w:val="000062E3"/>
    <w:rsid w:val="000076D1"/>
    <w:rsid w:val="00010395"/>
    <w:rsid w:val="00012591"/>
    <w:rsid w:val="00015635"/>
    <w:rsid w:val="00021925"/>
    <w:rsid w:val="0002267D"/>
    <w:rsid w:val="000226DF"/>
    <w:rsid w:val="0002276A"/>
    <w:rsid w:val="00027CDB"/>
    <w:rsid w:val="000306CE"/>
    <w:rsid w:val="00030730"/>
    <w:rsid w:val="0003581E"/>
    <w:rsid w:val="000359A3"/>
    <w:rsid w:val="00036CF0"/>
    <w:rsid w:val="000423F3"/>
    <w:rsid w:val="00043713"/>
    <w:rsid w:val="00044521"/>
    <w:rsid w:val="00045B51"/>
    <w:rsid w:val="00045C10"/>
    <w:rsid w:val="00050652"/>
    <w:rsid w:val="0005086F"/>
    <w:rsid w:val="000549FC"/>
    <w:rsid w:val="00055333"/>
    <w:rsid w:val="0005583D"/>
    <w:rsid w:val="000604FC"/>
    <w:rsid w:val="00061319"/>
    <w:rsid w:val="00061AA9"/>
    <w:rsid w:val="00066C25"/>
    <w:rsid w:val="0007279D"/>
    <w:rsid w:val="00072C72"/>
    <w:rsid w:val="00075D64"/>
    <w:rsid w:val="00081C28"/>
    <w:rsid w:val="00084FB2"/>
    <w:rsid w:val="0009505D"/>
    <w:rsid w:val="0009578E"/>
    <w:rsid w:val="00095DFC"/>
    <w:rsid w:val="00096A90"/>
    <w:rsid w:val="00097088"/>
    <w:rsid w:val="000971D5"/>
    <w:rsid w:val="000A03B0"/>
    <w:rsid w:val="000A3602"/>
    <w:rsid w:val="000A3E0A"/>
    <w:rsid w:val="000A454F"/>
    <w:rsid w:val="000A5781"/>
    <w:rsid w:val="000A5DC8"/>
    <w:rsid w:val="000A7610"/>
    <w:rsid w:val="000B2C10"/>
    <w:rsid w:val="000B58C2"/>
    <w:rsid w:val="000B62A4"/>
    <w:rsid w:val="000C13D9"/>
    <w:rsid w:val="000C142D"/>
    <w:rsid w:val="000C18A1"/>
    <w:rsid w:val="000C4067"/>
    <w:rsid w:val="000C646A"/>
    <w:rsid w:val="000C6C68"/>
    <w:rsid w:val="000D09F2"/>
    <w:rsid w:val="000D3955"/>
    <w:rsid w:val="000D62FE"/>
    <w:rsid w:val="000E1CB7"/>
    <w:rsid w:val="000E2B0D"/>
    <w:rsid w:val="000E2EFD"/>
    <w:rsid w:val="000E3990"/>
    <w:rsid w:val="000E4067"/>
    <w:rsid w:val="000E730D"/>
    <w:rsid w:val="000F4B38"/>
    <w:rsid w:val="000F7EE7"/>
    <w:rsid w:val="00100604"/>
    <w:rsid w:val="00100CEE"/>
    <w:rsid w:val="001022DA"/>
    <w:rsid w:val="00103047"/>
    <w:rsid w:val="001045AC"/>
    <w:rsid w:val="00106476"/>
    <w:rsid w:val="00107493"/>
    <w:rsid w:val="001079C3"/>
    <w:rsid w:val="001116CF"/>
    <w:rsid w:val="0011220D"/>
    <w:rsid w:val="00114F02"/>
    <w:rsid w:val="001207AF"/>
    <w:rsid w:val="00122024"/>
    <w:rsid w:val="001229A1"/>
    <w:rsid w:val="00123A8D"/>
    <w:rsid w:val="00125B1B"/>
    <w:rsid w:val="00136C0E"/>
    <w:rsid w:val="00136CE9"/>
    <w:rsid w:val="00137854"/>
    <w:rsid w:val="00141E03"/>
    <w:rsid w:val="00143A8A"/>
    <w:rsid w:val="001440AA"/>
    <w:rsid w:val="0014428F"/>
    <w:rsid w:val="00145705"/>
    <w:rsid w:val="00147E3A"/>
    <w:rsid w:val="00151825"/>
    <w:rsid w:val="001544E7"/>
    <w:rsid w:val="001575A8"/>
    <w:rsid w:val="00161F69"/>
    <w:rsid w:val="001645D8"/>
    <w:rsid w:val="001652D8"/>
    <w:rsid w:val="00167851"/>
    <w:rsid w:val="00167923"/>
    <w:rsid w:val="00170F0B"/>
    <w:rsid w:val="001725CD"/>
    <w:rsid w:val="00173238"/>
    <w:rsid w:val="001733C4"/>
    <w:rsid w:val="00176DE0"/>
    <w:rsid w:val="00180621"/>
    <w:rsid w:val="00180DF6"/>
    <w:rsid w:val="00181AAE"/>
    <w:rsid w:val="00182579"/>
    <w:rsid w:val="001837C9"/>
    <w:rsid w:val="00184930"/>
    <w:rsid w:val="001904F3"/>
    <w:rsid w:val="0019396D"/>
    <w:rsid w:val="001A142B"/>
    <w:rsid w:val="001A1DE7"/>
    <w:rsid w:val="001A4FC7"/>
    <w:rsid w:val="001A66DB"/>
    <w:rsid w:val="001B07D4"/>
    <w:rsid w:val="001B1483"/>
    <w:rsid w:val="001B28C0"/>
    <w:rsid w:val="001B2A72"/>
    <w:rsid w:val="001B5B1A"/>
    <w:rsid w:val="001C09A1"/>
    <w:rsid w:val="001C2EE8"/>
    <w:rsid w:val="001D1DF0"/>
    <w:rsid w:val="001D35D1"/>
    <w:rsid w:val="001E1E7F"/>
    <w:rsid w:val="001E7643"/>
    <w:rsid w:val="001F0578"/>
    <w:rsid w:val="001F0C80"/>
    <w:rsid w:val="001F376E"/>
    <w:rsid w:val="001F3C1E"/>
    <w:rsid w:val="001F464F"/>
    <w:rsid w:val="001F5117"/>
    <w:rsid w:val="002014EF"/>
    <w:rsid w:val="00201635"/>
    <w:rsid w:val="00203789"/>
    <w:rsid w:val="00205DA8"/>
    <w:rsid w:val="00210574"/>
    <w:rsid w:val="0021222A"/>
    <w:rsid w:val="002124EB"/>
    <w:rsid w:val="00214CDB"/>
    <w:rsid w:val="00215521"/>
    <w:rsid w:val="00217C44"/>
    <w:rsid w:val="0022089B"/>
    <w:rsid w:val="002225BD"/>
    <w:rsid w:val="00222DF8"/>
    <w:rsid w:val="002250EA"/>
    <w:rsid w:val="002307D3"/>
    <w:rsid w:val="00235F59"/>
    <w:rsid w:val="00237CF6"/>
    <w:rsid w:val="00240FE3"/>
    <w:rsid w:val="002418D5"/>
    <w:rsid w:val="00241946"/>
    <w:rsid w:val="00245AC9"/>
    <w:rsid w:val="00250A5B"/>
    <w:rsid w:val="00250D8A"/>
    <w:rsid w:val="00251F60"/>
    <w:rsid w:val="002522E8"/>
    <w:rsid w:val="002523AF"/>
    <w:rsid w:val="00252D85"/>
    <w:rsid w:val="002533EE"/>
    <w:rsid w:val="0025425E"/>
    <w:rsid w:val="002544C1"/>
    <w:rsid w:val="00254E73"/>
    <w:rsid w:val="00261F33"/>
    <w:rsid w:val="00262F23"/>
    <w:rsid w:val="002635A7"/>
    <w:rsid w:val="00265D36"/>
    <w:rsid w:val="002700E3"/>
    <w:rsid w:val="002716A5"/>
    <w:rsid w:val="00272FAC"/>
    <w:rsid w:val="00274E54"/>
    <w:rsid w:val="00276AE1"/>
    <w:rsid w:val="0028116E"/>
    <w:rsid w:val="0028268F"/>
    <w:rsid w:val="00283104"/>
    <w:rsid w:val="00284358"/>
    <w:rsid w:val="00295798"/>
    <w:rsid w:val="002A0907"/>
    <w:rsid w:val="002A1829"/>
    <w:rsid w:val="002A1EAD"/>
    <w:rsid w:val="002A3765"/>
    <w:rsid w:val="002A4DCC"/>
    <w:rsid w:val="002B18FF"/>
    <w:rsid w:val="002B4A43"/>
    <w:rsid w:val="002C0633"/>
    <w:rsid w:val="002C1D26"/>
    <w:rsid w:val="002C3FD8"/>
    <w:rsid w:val="002C5792"/>
    <w:rsid w:val="002C7DCD"/>
    <w:rsid w:val="002D2C52"/>
    <w:rsid w:val="002D4B07"/>
    <w:rsid w:val="002D60D9"/>
    <w:rsid w:val="002D6F98"/>
    <w:rsid w:val="002D7447"/>
    <w:rsid w:val="002E4008"/>
    <w:rsid w:val="002E42B7"/>
    <w:rsid w:val="002E52B8"/>
    <w:rsid w:val="002E5FD4"/>
    <w:rsid w:val="002E61D4"/>
    <w:rsid w:val="002E6CA6"/>
    <w:rsid w:val="002E7209"/>
    <w:rsid w:val="002F0D4C"/>
    <w:rsid w:val="002F7560"/>
    <w:rsid w:val="003048F8"/>
    <w:rsid w:val="0030492C"/>
    <w:rsid w:val="00307E72"/>
    <w:rsid w:val="00310988"/>
    <w:rsid w:val="00310B32"/>
    <w:rsid w:val="00315A6C"/>
    <w:rsid w:val="003205EA"/>
    <w:rsid w:val="00322791"/>
    <w:rsid w:val="0032398F"/>
    <w:rsid w:val="00325D28"/>
    <w:rsid w:val="00326EF3"/>
    <w:rsid w:val="00327E19"/>
    <w:rsid w:val="00332011"/>
    <w:rsid w:val="00334C0C"/>
    <w:rsid w:val="003352EB"/>
    <w:rsid w:val="00335CC7"/>
    <w:rsid w:val="0033778E"/>
    <w:rsid w:val="0034205B"/>
    <w:rsid w:val="003431CA"/>
    <w:rsid w:val="0034372F"/>
    <w:rsid w:val="00343EC1"/>
    <w:rsid w:val="0034459C"/>
    <w:rsid w:val="00344855"/>
    <w:rsid w:val="00344FF3"/>
    <w:rsid w:val="00345492"/>
    <w:rsid w:val="00346F5C"/>
    <w:rsid w:val="00347363"/>
    <w:rsid w:val="00350C20"/>
    <w:rsid w:val="00355339"/>
    <w:rsid w:val="00355696"/>
    <w:rsid w:val="003559CF"/>
    <w:rsid w:val="00355BE5"/>
    <w:rsid w:val="00361914"/>
    <w:rsid w:val="003619F6"/>
    <w:rsid w:val="00367725"/>
    <w:rsid w:val="0037043D"/>
    <w:rsid w:val="00370C86"/>
    <w:rsid w:val="00372B8D"/>
    <w:rsid w:val="00372D5B"/>
    <w:rsid w:val="00373D41"/>
    <w:rsid w:val="00380912"/>
    <w:rsid w:val="00380C15"/>
    <w:rsid w:val="00382761"/>
    <w:rsid w:val="00386E28"/>
    <w:rsid w:val="00391F55"/>
    <w:rsid w:val="00394D1B"/>
    <w:rsid w:val="00396C49"/>
    <w:rsid w:val="003A2878"/>
    <w:rsid w:val="003A2CB4"/>
    <w:rsid w:val="003A3E18"/>
    <w:rsid w:val="003A45FF"/>
    <w:rsid w:val="003A5487"/>
    <w:rsid w:val="003B232A"/>
    <w:rsid w:val="003B461F"/>
    <w:rsid w:val="003C0912"/>
    <w:rsid w:val="003C3FE4"/>
    <w:rsid w:val="003D1787"/>
    <w:rsid w:val="003D4817"/>
    <w:rsid w:val="003D59BE"/>
    <w:rsid w:val="003D6F80"/>
    <w:rsid w:val="003D7DF1"/>
    <w:rsid w:val="003E1EDB"/>
    <w:rsid w:val="003E22AA"/>
    <w:rsid w:val="003E3D4D"/>
    <w:rsid w:val="003E4145"/>
    <w:rsid w:val="003E6CB2"/>
    <w:rsid w:val="003F449F"/>
    <w:rsid w:val="003F57E4"/>
    <w:rsid w:val="003F7BE2"/>
    <w:rsid w:val="00400923"/>
    <w:rsid w:val="00401A44"/>
    <w:rsid w:val="00401CAA"/>
    <w:rsid w:val="0041048B"/>
    <w:rsid w:val="004109BD"/>
    <w:rsid w:val="00410E66"/>
    <w:rsid w:val="00413E3A"/>
    <w:rsid w:val="00417E2B"/>
    <w:rsid w:val="00423232"/>
    <w:rsid w:val="004236AF"/>
    <w:rsid w:val="00427A0E"/>
    <w:rsid w:val="00427B48"/>
    <w:rsid w:val="00430C7D"/>
    <w:rsid w:val="00434990"/>
    <w:rsid w:val="00434EA5"/>
    <w:rsid w:val="004407AB"/>
    <w:rsid w:val="00441539"/>
    <w:rsid w:val="00442CD8"/>
    <w:rsid w:val="00455145"/>
    <w:rsid w:val="00455178"/>
    <w:rsid w:val="00463408"/>
    <w:rsid w:val="00464485"/>
    <w:rsid w:val="004644BD"/>
    <w:rsid w:val="0046455A"/>
    <w:rsid w:val="00465614"/>
    <w:rsid w:val="00467501"/>
    <w:rsid w:val="00470AFE"/>
    <w:rsid w:val="004729E5"/>
    <w:rsid w:val="0047370C"/>
    <w:rsid w:val="00474066"/>
    <w:rsid w:val="00474F9F"/>
    <w:rsid w:val="004913E8"/>
    <w:rsid w:val="00492BC6"/>
    <w:rsid w:val="004948A8"/>
    <w:rsid w:val="00494DB2"/>
    <w:rsid w:val="00495A51"/>
    <w:rsid w:val="00496B0D"/>
    <w:rsid w:val="004A14E7"/>
    <w:rsid w:val="004A1AC2"/>
    <w:rsid w:val="004B24E3"/>
    <w:rsid w:val="004B2616"/>
    <w:rsid w:val="004B2778"/>
    <w:rsid w:val="004B2FD6"/>
    <w:rsid w:val="004B4E17"/>
    <w:rsid w:val="004B6ADB"/>
    <w:rsid w:val="004B6D52"/>
    <w:rsid w:val="004B7393"/>
    <w:rsid w:val="004C0978"/>
    <w:rsid w:val="004C097C"/>
    <w:rsid w:val="004C0C41"/>
    <w:rsid w:val="004C1E4A"/>
    <w:rsid w:val="004C241B"/>
    <w:rsid w:val="004C2817"/>
    <w:rsid w:val="004C32BD"/>
    <w:rsid w:val="004C3834"/>
    <w:rsid w:val="004C70E7"/>
    <w:rsid w:val="004D0EF2"/>
    <w:rsid w:val="004D2B8C"/>
    <w:rsid w:val="004D4E9B"/>
    <w:rsid w:val="004D500D"/>
    <w:rsid w:val="004D75F0"/>
    <w:rsid w:val="004D780E"/>
    <w:rsid w:val="004D7EE5"/>
    <w:rsid w:val="004E10FB"/>
    <w:rsid w:val="004E3149"/>
    <w:rsid w:val="004E5396"/>
    <w:rsid w:val="004E6C72"/>
    <w:rsid w:val="004F0060"/>
    <w:rsid w:val="004F02B5"/>
    <w:rsid w:val="004F1269"/>
    <w:rsid w:val="004F2097"/>
    <w:rsid w:val="004F2909"/>
    <w:rsid w:val="004F57C3"/>
    <w:rsid w:val="004F5BA5"/>
    <w:rsid w:val="004F6D0B"/>
    <w:rsid w:val="005000DE"/>
    <w:rsid w:val="00500EEC"/>
    <w:rsid w:val="005032E3"/>
    <w:rsid w:val="005039B5"/>
    <w:rsid w:val="005068EC"/>
    <w:rsid w:val="00507553"/>
    <w:rsid w:val="00514F9F"/>
    <w:rsid w:val="005163EB"/>
    <w:rsid w:val="00517B3B"/>
    <w:rsid w:val="00522C81"/>
    <w:rsid w:val="005231CF"/>
    <w:rsid w:val="00524146"/>
    <w:rsid w:val="005261B5"/>
    <w:rsid w:val="00527AC5"/>
    <w:rsid w:val="00530337"/>
    <w:rsid w:val="00530E63"/>
    <w:rsid w:val="00530EE8"/>
    <w:rsid w:val="00531495"/>
    <w:rsid w:val="00535E42"/>
    <w:rsid w:val="00543E6C"/>
    <w:rsid w:val="00555A67"/>
    <w:rsid w:val="00561F62"/>
    <w:rsid w:val="0056311A"/>
    <w:rsid w:val="00563B0E"/>
    <w:rsid w:val="00566D57"/>
    <w:rsid w:val="00570C86"/>
    <w:rsid w:val="00572B76"/>
    <w:rsid w:val="00575FF5"/>
    <w:rsid w:val="00576658"/>
    <w:rsid w:val="005767B7"/>
    <w:rsid w:val="00583B00"/>
    <w:rsid w:val="00583BFE"/>
    <w:rsid w:val="00584F89"/>
    <w:rsid w:val="005869AA"/>
    <w:rsid w:val="00591EC0"/>
    <w:rsid w:val="00592255"/>
    <w:rsid w:val="005924AA"/>
    <w:rsid w:val="00593639"/>
    <w:rsid w:val="00593AF6"/>
    <w:rsid w:val="00593C80"/>
    <w:rsid w:val="005A0FCF"/>
    <w:rsid w:val="005A11A3"/>
    <w:rsid w:val="005B397E"/>
    <w:rsid w:val="005B6E5C"/>
    <w:rsid w:val="005B7FD0"/>
    <w:rsid w:val="005C0A36"/>
    <w:rsid w:val="005C4ECB"/>
    <w:rsid w:val="005C4FC6"/>
    <w:rsid w:val="005C6941"/>
    <w:rsid w:val="005D0761"/>
    <w:rsid w:val="005D0E4C"/>
    <w:rsid w:val="005D1415"/>
    <w:rsid w:val="005D1B6B"/>
    <w:rsid w:val="005D412F"/>
    <w:rsid w:val="005D656A"/>
    <w:rsid w:val="005E04F3"/>
    <w:rsid w:val="005E054B"/>
    <w:rsid w:val="005E0774"/>
    <w:rsid w:val="005E112B"/>
    <w:rsid w:val="005E231D"/>
    <w:rsid w:val="005E4BB5"/>
    <w:rsid w:val="005E5639"/>
    <w:rsid w:val="005E692F"/>
    <w:rsid w:val="005F31D4"/>
    <w:rsid w:val="005F7458"/>
    <w:rsid w:val="00600CD3"/>
    <w:rsid w:val="00601F51"/>
    <w:rsid w:val="00602A7C"/>
    <w:rsid w:val="00602CCF"/>
    <w:rsid w:val="006068B1"/>
    <w:rsid w:val="00606D9F"/>
    <w:rsid w:val="00607780"/>
    <w:rsid w:val="00613270"/>
    <w:rsid w:val="00623A5B"/>
    <w:rsid w:val="00624569"/>
    <w:rsid w:val="0062494A"/>
    <w:rsid w:val="00626928"/>
    <w:rsid w:val="00626B52"/>
    <w:rsid w:val="00626C0C"/>
    <w:rsid w:val="0063064B"/>
    <w:rsid w:val="00631300"/>
    <w:rsid w:val="00634901"/>
    <w:rsid w:val="006416D2"/>
    <w:rsid w:val="006440D5"/>
    <w:rsid w:val="00644EF3"/>
    <w:rsid w:val="00647820"/>
    <w:rsid w:val="00653323"/>
    <w:rsid w:val="00660CC6"/>
    <w:rsid w:val="00663E1C"/>
    <w:rsid w:val="00665991"/>
    <w:rsid w:val="006662CE"/>
    <w:rsid w:val="006668F6"/>
    <w:rsid w:val="00666AF7"/>
    <w:rsid w:val="006673DA"/>
    <w:rsid w:val="00670E68"/>
    <w:rsid w:val="00671439"/>
    <w:rsid w:val="0067425F"/>
    <w:rsid w:val="00674D88"/>
    <w:rsid w:val="00675DF9"/>
    <w:rsid w:val="0068328B"/>
    <w:rsid w:val="00690DDC"/>
    <w:rsid w:val="0069284C"/>
    <w:rsid w:val="00693DCB"/>
    <w:rsid w:val="00696A6B"/>
    <w:rsid w:val="00697200"/>
    <w:rsid w:val="006A210A"/>
    <w:rsid w:val="006A32E5"/>
    <w:rsid w:val="006A5A30"/>
    <w:rsid w:val="006A6D85"/>
    <w:rsid w:val="006B1DD0"/>
    <w:rsid w:val="006B2DDE"/>
    <w:rsid w:val="006B60AE"/>
    <w:rsid w:val="006B706A"/>
    <w:rsid w:val="006B740F"/>
    <w:rsid w:val="006C0067"/>
    <w:rsid w:val="006C18A4"/>
    <w:rsid w:val="006C3E99"/>
    <w:rsid w:val="006C46AA"/>
    <w:rsid w:val="006C51D9"/>
    <w:rsid w:val="006C6B8D"/>
    <w:rsid w:val="006D22B9"/>
    <w:rsid w:val="006D2E8D"/>
    <w:rsid w:val="006D3E65"/>
    <w:rsid w:val="006D48FF"/>
    <w:rsid w:val="006D5286"/>
    <w:rsid w:val="006D6AA6"/>
    <w:rsid w:val="006E0C4D"/>
    <w:rsid w:val="006E3C54"/>
    <w:rsid w:val="006E53D8"/>
    <w:rsid w:val="006F1D05"/>
    <w:rsid w:val="006F2551"/>
    <w:rsid w:val="006F2F7D"/>
    <w:rsid w:val="006F40F1"/>
    <w:rsid w:val="006F4376"/>
    <w:rsid w:val="00700919"/>
    <w:rsid w:val="00700FA4"/>
    <w:rsid w:val="00701BB4"/>
    <w:rsid w:val="00701D9A"/>
    <w:rsid w:val="007120E5"/>
    <w:rsid w:val="00712503"/>
    <w:rsid w:val="00716201"/>
    <w:rsid w:val="00717138"/>
    <w:rsid w:val="00717D93"/>
    <w:rsid w:val="007201C9"/>
    <w:rsid w:val="00720804"/>
    <w:rsid w:val="00720BBD"/>
    <w:rsid w:val="007260C7"/>
    <w:rsid w:val="00727040"/>
    <w:rsid w:val="00730962"/>
    <w:rsid w:val="00732CF8"/>
    <w:rsid w:val="0073524F"/>
    <w:rsid w:val="00737699"/>
    <w:rsid w:val="00741F55"/>
    <w:rsid w:val="007432BA"/>
    <w:rsid w:val="00745AB5"/>
    <w:rsid w:val="00751C9F"/>
    <w:rsid w:val="00752F6B"/>
    <w:rsid w:val="0075388E"/>
    <w:rsid w:val="00754C94"/>
    <w:rsid w:val="007613AF"/>
    <w:rsid w:val="00762DF9"/>
    <w:rsid w:val="0076422B"/>
    <w:rsid w:val="00765D53"/>
    <w:rsid w:val="00766188"/>
    <w:rsid w:val="00767075"/>
    <w:rsid w:val="00767CDB"/>
    <w:rsid w:val="00770859"/>
    <w:rsid w:val="007718A7"/>
    <w:rsid w:val="00771E6F"/>
    <w:rsid w:val="007746B7"/>
    <w:rsid w:val="00775DF8"/>
    <w:rsid w:val="00775FBA"/>
    <w:rsid w:val="00777505"/>
    <w:rsid w:val="00781473"/>
    <w:rsid w:val="0078317F"/>
    <w:rsid w:val="00784927"/>
    <w:rsid w:val="007849C7"/>
    <w:rsid w:val="007870B4"/>
    <w:rsid w:val="00787227"/>
    <w:rsid w:val="00791048"/>
    <w:rsid w:val="00791694"/>
    <w:rsid w:val="0079193C"/>
    <w:rsid w:val="00792966"/>
    <w:rsid w:val="007954FE"/>
    <w:rsid w:val="007A08A5"/>
    <w:rsid w:val="007A25FE"/>
    <w:rsid w:val="007A2D3C"/>
    <w:rsid w:val="007A2D4E"/>
    <w:rsid w:val="007A3447"/>
    <w:rsid w:val="007A51D9"/>
    <w:rsid w:val="007A60AD"/>
    <w:rsid w:val="007B1DA1"/>
    <w:rsid w:val="007B4D21"/>
    <w:rsid w:val="007C07F4"/>
    <w:rsid w:val="007C10C0"/>
    <w:rsid w:val="007C410E"/>
    <w:rsid w:val="007D2D79"/>
    <w:rsid w:val="007D6470"/>
    <w:rsid w:val="007D73E0"/>
    <w:rsid w:val="007E4CB1"/>
    <w:rsid w:val="007E58CC"/>
    <w:rsid w:val="007E7EC6"/>
    <w:rsid w:val="007F056C"/>
    <w:rsid w:val="007F10F0"/>
    <w:rsid w:val="007F406F"/>
    <w:rsid w:val="007F41B9"/>
    <w:rsid w:val="007F4F47"/>
    <w:rsid w:val="00802FF2"/>
    <w:rsid w:val="00803A1C"/>
    <w:rsid w:val="0080450A"/>
    <w:rsid w:val="008053DA"/>
    <w:rsid w:val="00805FCD"/>
    <w:rsid w:val="008060E6"/>
    <w:rsid w:val="008079B9"/>
    <w:rsid w:val="00810949"/>
    <w:rsid w:val="008128C3"/>
    <w:rsid w:val="00816A6F"/>
    <w:rsid w:val="00816AF1"/>
    <w:rsid w:val="00816CC6"/>
    <w:rsid w:val="00816D8A"/>
    <w:rsid w:val="00817847"/>
    <w:rsid w:val="008179D0"/>
    <w:rsid w:val="0082164F"/>
    <w:rsid w:val="0082360A"/>
    <w:rsid w:val="0082464A"/>
    <w:rsid w:val="00824815"/>
    <w:rsid w:val="0082496F"/>
    <w:rsid w:val="00830928"/>
    <w:rsid w:val="00832622"/>
    <w:rsid w:val="00834894"/>
    <w:rsid w:val="00840095"/>
    <w:rsid w:val="00842825"/>
    <w:rsid w:val="00843312"/>
    <w:rsid w:val="0084332B"/>
    <w:rsid w:val="008435D2"/>
    <w:rsid w:val="00844FF8"/>
    <w:rsid w:val="008458C0"/>
    <w:rsid w:val="0085241B"/>
    <w:rsid w:val="0085307A"/>
    <w:rsid w:val="008546EB"/>
    <w:rsid w:val="00856066"/>
    <w:rsid w:val="00857788"/>
    <w:rsid w:val="00857904"/>
    <w:rsid w:val="00857F1A"/>
    <w:rsid w:val="00860F62"/>
    <w:rsid w:val="00866B4C"/>
    <w:rsid w:val="00870D80"/>
    <w:rsid w:val="008725B6"/>
    <w:rsid w:val="008814E3"/>
    <w:rsid w:val="00884916"/>
    <w:rsid w:val="0088611A"/>
    <w:rsid w:val="00890BF0"/>
    <w:rsid w:val="00891221"/>
    <w:rsid w:val="00892A2F"/>
    <w:rsid w:val="008942D1"/>
    <w:rsid w:val="008A07F8"/>
    <w:rsid w:val="008A0DD3"/>
    <w:rsid w:val="008A76D0"/>
    <w:rsid w:val="008B023F"/>
    <w:rsid w:val="008B0588"/>
    <w:rsid w:val="008B46EF"/>
    <w:rsid w:val="008B4D13"/>
    <w:rsid w:val="008B4F63"/>
    <w:rsid w:val="008B575B"/>
    <w:rsid w:val="008C040D"/>
    <w:rsid w:val="008C09FE"/>
    <w:rsid w:val="008C1DEE"/>
    <w:rsid w:val="008C1FB0"/>
    <w:rsid w:val="008C29B3"/>
    <w:rsid w:val="008C2CB4"/>
    <w:rsid w:val="008C53F0"/>
    <w:rsid w:val="008D6343"/>
    <w:rsid w:val="008D761F"/>
    <w:rsid w:val="008D7E02"/>
    <w:rsid w:val="008D7FF5"/>
    <w:rsid w:val="008E110F"/>
    <w:rsid w:val="008E1431"/>
    <w:rsid w:val="008E355A"/>
    <w:rsid w:val="008E37FC"/>
    <w:rsid w:val="008E38E4"/>
    <w:rsid w:val="008E3EC0"/>
    <w:rsid w:val="008E3F00"/>
    <w:rsid w:val="008F07F8"/>
    <w:rsid w:val="008F1E14"/>
    <w:rsid w:val="008F2056"/>
    <w:rsid w:val="008F70BA"/>
    <w:rsid w:val="008F77A6"/>
    <w:rsid w:val="00903D28"/>
    <w:rsid w:val="00904F28"/>
    <w:rsid w:val="009106CC"/>
    <w:rsid w:val="00911D1C"/>
    <w:rsid w:val="009122CB"/>
    <w:rsid w:val="00912795"/>
    <w:rsid w:val="00913721"/>
    <w:rsid w:val="009220A4"/>
    <w:rsid w:val="00923BAA"/>
    <w:rsid w:val="00926338"/>
    <w:rsid w:val="00927604"/>
    <w:rsid w:val="00930364"/>
    <w:rsid w:val="00931897"/>
    <w:rsid w:val="0093242E"/>
    <w:rsid w:val="00932B72"/>
    <w:rsid w:val="009413CD"/>
    <w:rsid w:val="00941ADD"/>
    <w:rsid w:val="00944B37"/>
    <w:rsid w:val="009475CC"/>
    <w:rsid w:val="00950D8D"/>
    <w:rsid w:val="00951E3E"/>
    <w:rsid w:val="009534AA"/>
    <w:rsid w:val="00953F58"/>
    <w:rsid w:val="009551A0"/>
    <w:rsid w:val="00957570"/>
    <w:rsid w:val="009576ED"/>
    <w:rsid w:val="00957848"/>
    <w:rsid w:val="0096093B"/>
    <w:rsid w:val="00962104"/>
    <w:rsid w:val="00964949"/>
    <w:rsid w:val="00966D3C"/>
    <w:rsid w:val="009673F4"/>
    <w:rsid w:val="00971AC4"/>
    <w:rsid w:val="00973A67"/>
    <w:rsid w:val="00975110"/>
    <w:rsid w:val="0098243C"/>
    <w:rsid w:val="00983644"/>
    <w:rsid w:val="00987245"/>
    <w:rsid w:val="00987475"/>
    <w:rsid w:val="00990250"/>
    <w:rsid w:val="00991038"/>
    <w:rsid w:val="00991F23"/>
    <w:rsid w:val="00993E8B"/>
    <w:rsid w:val="00996105"/>
    <w:rsid w:val="009962C5"/>
    <w:rsid w:val="00996573"/>
    <w:rsid w:val="00997102"/>
    <w:rsid w:val="009A0728"/>
    <w:rsid w:val="009A2189"/>
    <w:rsid w:val="009A5E35"/>
    <w:rsid w:val="009A6726"/>
    <w:rsid w:val="009B4222"/>
    <w:rsid w:val="009B4264"/>
    <w:rsid w:val="009B47E3"/>
    <w:rsid w:val="009B5892"/>
    <w:rsid w:val="009B7592"/>
    <w:rsid w:val="009C2298"/>
    <w:rsid w:val="009C3246"/>
    <w:rsid w:val="009D12B0"/>
    <w:rsid w:val="009D16F4"/>
    <w:rsid w:val="009D32A4"/>
    <w:rsid w:val="009D33EC"/>
    <w:rsid w:val="009D575F"/>
    <w:rsid w:val="009D7004"/>
    <w:rsid w:val="009E0AE4"/>
    <w:rsid w:val="009E5BB0"/>
    <w:rsid w:val="009E6D7F"/>
    <w:rsid w:val="009F6E5F"/>
    <w:rsid w:val="00A010FF"/>
    <w:rsid w:val="00A06F1F"/>
    <w:rsid w:val="00A115D8"/>
    <w:rsid w:val="00A176B5"/>
    <w:rsid w:val="00A20273"/>
    <w:rsid w:val="00A20954"/>
    <w:rsid w:val="00A20C65"/>
    <w:rsid w:val="00A21C1C"/>
    <w:rsid w:val="00A21E07"/>
    <w:rsid w:val="00A22F3D"/>
    <w:rsid w:val="00A26B62"/>
    <w:rsid w:val="00A271AB"/>
    <w:rsid w:val="00A3194B"/>
    <w:rsid w:val="00A41F26"/>
    <w:rsid w:val="00A4257A"/>
    <w:rsid w:val="00A457BD"/>
    <w:rsid w:val="00A464C9"/>
    <w:rsid w:val="00A46852"/>
    <w:rsid w:val="00A5034B"/>
    <w:rsid w:val="00A50B87"/>
    <w:rsid w:val="00A51E09"/>
    <w:rsid w:val="00A53801"/>
    <w:rsid w:val="00A564DF"/>
    <w:rsid w:val="00A5734A"/>
    <w:rsid w:val="00A57634"/>
    <w:rsid w:val="00A61430"/>
    <w:rsid w:val="00A70FD8"/>
    <w:rsid w:val="00A7287A"/>
    <w:rsid w:val="00A73BE6"/>
    <w:rsid w:val="00A7585F"/>
    <w:rsid w:val="00A768AC"/>
    <w:rsid w:val="00A81F02"/>
    <w:rsid w:val="00A843A8"/>
    <w:rsid w:val="00A85816"/>
    <w:rsid w:val="00A92B6C"/>
    <w:rsid w:val="00A93547"/>
    <w:rsid w:val="00AA100A"/>
    <w:rsid w:val="00AA13C8"/>
    <w:rsid w:val="00AA216A"/>
    <w:rsid w:val="00AA2927"/>
    <w:rsid w:val="00AA2F2F"/>
    <w:rsid w:val="00AA44B6"/>
    <w:rsid w:val="00AB0EE1"/>
    <w:rsid w:val="00AB399A"/>
    <w:rsid w:val="00AB4928"/>
    <w:rsid w:val="00AB5674"/>
    <w:rsid w:val="00AB7513"/>
    <w:rsid w:val="00AC7A49"/>
    <w:rsid w:val="00AD7233"/>
    <w:rsid w:val="00AD7936"/>
    <w:rsid w:val="00AE3979"/>
    <w:rsid w:val="00AE5ADB"/>
    <w:rsid w:val="00AE79F8"/>
    <w:rsid w:val="00AE7C9D"/>
    <w:rsid w:val="00AF3861"/>
    <w:rsid w:val="00AF5D29"/>
    <w:rsid w:val="00AF604E"/>
    <w:rsid w:val="00B01F2D"/>
    <w:rsid w:val="00B03C18"/>
    <w:rsid w:val="00B04C96"/>
    <w:rsid w:val="00B04D96"/>
    <w:rsid w:val="00B07684"/>
    <w:rsid w:val="00B146F7"/>
    <w:rsid w:val="00B14A88"/>
    <w:rsid w:val="00B15452"/>
    <w:rsid w:val="00B172BE"/>
    <w:rsid w:val="00B17B9C"/>
    <w:rsid w:val="00B20F3A"/>
    <w:rsid w:val="00B243F2"/>
    <w:rsid w:val="00B258E0"/>
    <w:rsid w:val="00B25E36"/>
    <w:rsid w:val="00B272F6"/>
    <w:rsid w:val="00B32D13"/>
    <w:rsid w:val="00B357FB"/>
    <w:rsid w:val="00B358D3"/>
    <w:rsid w:val="00B37E32"/>
    <w:rsid w:val="00B40A1F"/>
    <w:rsid w:val="00B418E1"/>
    <w:rsid w:val="00B41CFD"/>
    <w:rsid w:val="00B44AA8"/>
    <w:rsid w:val="00B457CD"/>
    <w:rsid w:val="00B45F93"/>
    <w:rsid w:val="00B501E3"/>
    <w:rsid w:val="00B5157D"/>
    <w:rsid w:val="00B521FB"/>
    <w:rsid w:val="00B52757"/>
    <w:rsid w:val="00B5297B"/>
    <w:rsid w:val="00B531E3"/>
    <w:rsid w:val="00B532E8"/>
    <w:rsid w:val="00B55CE9"/>
    <w:rsid w:val="00B55E46"/>
    <w:rsid w:val="00B55EDC"/>
    <w:rsid w:val="00B5638A"/>
    <w:rsid w:val="00B605B5"/>
    <w:rsid w:val="00B63E7B"/>
    <w:rsid w:val="00B64304"/>
    <w:rsid w:val="00B6512E"/>
    <w:rsid w:val="00B65242"/>
    <w:rsid w:val="00B71637"/>
    <w:rsid w:val="00B725D4"/>
    <w:rsid w:val="00B81FB5"/>
    <w:rsid w:val="00B82456"/>
    <w:rsid w:val="00B8543A"/>
    <w:rsid w:val="00B8549F"/>
    <w:rsid w:val="00B85ED8"/>
    <w:rsid w:val="00B86FFD"/>
    <w:rsid w:val="00B9021A"/>
    <w:rsid w:val="00B9186B"/>
    <w:rsid w:val="00B91F49"/>
    <w:rsid w:val="00B946F7"/>
    <w:rsid w:val="00B961C1"/>
    <w:rsid w:val="00B97FC7"/>
    <w:rsid w:val="00BA10A9"/>
    <w:rsid w:val="00BA1B41"/>
    <w:rsid w:val="00BA5F45"/>
    <w:rsid w:val="00BB01D5"/>
    <w:rsid w:val="00BB1340"/>
    <w:rsid w:val="00BB29CE"/>
    <w:rsid w:val="00BB6078"/>
    <w:rsid w:val="00BC2CA9"/>
    <w:rsid w:val="00BC545F"/>
    <w:rsid w:val="00BC5C3B"/>
    <w:rsid w:val="00BC7316"/>
    <w:rsid w:val="00BC7EA7"/>
    <w:rsid w:val="00BD021E"/>
    <w:rsid w:val="00BD08B0"/>
    <w:rsid w:val="00BD0F36"/>
    <w:rsid w:val="00BD1075"/>
    <w:rsid w:val="00BD1247"/>
    <w:rsid w:val="00BD1C6F"/>
    <w:rsid w:val="00BD27E6"/>
    <w:rsid w:val="00BE498C"/>
    <w:rsid w:val="00BE5A02"/>
    <w:rsid w:val="00BE68A2"/>
    <w:rsid w:val="00BF097E"/>
    <w:rsid w:val="00BF1A09"/>
    <w:rsid w:val="00BF21EE"/>
    <w:rsid w:val="00BF388A"/>
    <w:rsid w:val="00BF536F"/>
    <w:rsid w:val="00BF609E"/>
    <w:rsid w:val="00BF6242"/>
    <w:rsid w:val="00BF6BD7"/>
    <w:rsid w:val="00BF75F4"/>
    <w:rsid w:val="00C008A2"/>
    <w:rsid w:val="00C01ADA"/>
    <w:rsid w:val="00C031ED"/>
    <w:rsid w:val="00C062A9"/>
    <w:rsid w:val="00C06E60"/>
    <w:rsid w:val="00C07DBA"/>
    <w:rsid w:val="00C12F17"/>
    <w:rsid w:val="00C20AE8"/>
    <w:rsid w:val="00C231BF"/>
    <w:rsid w:val="00C2405E"/>
    <w:rsid w:val="00C240E3"/>
    <w:rsid w:val="00C24F5F"/>
    <w:rsid w:val="00C26A37"/>
    <w:rsid w:val="00C327B0"/>
    <w:rsid w:val="00C34ED9"/>
    <w:rsid w:val="00C434B8"/>
    <w:rsid w:val="00C44AD8"/>
    <w:rsid w:val="00C47796"/>
    <w:rsid w:val="00C50487"/>
    <w:rsid w:val="00C50D9B"/>
    <w:rsid w:val="00C53F30"/>
    <w:rsid w:val="00C5531F"/>
    <w:rsid w:val="00C56D72"/>
    <w:rsid w:val="00C573F6"/>
    <w:rsid w:val="00C57F43"/>
    <w:rsid w:val="00C60A89"/>
    <w:rsid w:val="00C61846"/>
    <w:rsid w:val="00C61E0C"/>
    <w:rsid w:val="00C6507A"/>
    <w:rsid w:val="00C66602"/>
    <w:rsid w:val="00C66B25"/>
    <w:rsid w:val="00C67FB2"/>
    <w:rsid w:val="00C717D2"/>
    <w:rsid w:val="00C71930"/>
    <w:rsid w:val="00C71F31"/>
    <w:rsid w:val="00C7275F"/>
    <w:rsid w:val="00C81C35"/>
    <w:rsid w:val="00C825A3"/>
    <w:rsid w:val="00C8413C"/>
    <w:rsid w:val="00C85201"/>
    <w:rsid w:val="00C8536C"/>
    <w:rsid w:val="00C86FC4"/>
    <w:rsid w:val="00C87FE5"/>
    <w:rsid w:val="00C91A63"/>
    <w:rsid w:val="00C91E60"/>
    <w:rsid w:val="00C9484C"/>
    <w:rsid w:val="00C95635"/>
    <w:rsid w:val="00C97D05"/>
    <w:rsid w:val="00CA0141"/>
    <w:rsid w:val="00CA124F"/>
    <w:rsid w:val="00CA1374"/>
    <w:rsid w:val="00CA2834"/>
    <w:rsid w:val="00CA3613"/>
    <w:rsid w:val="00CA39E6"/>
    <w:rsid w:val="00CA3CDF"/>
    <w:rsid w:val="00CA6CFF"/>
    <w:rsid w:val="00CB049A"/>
    <w:rsid w:val="00CB14C3"/>
    <w:rsid w:val="00CB321D"/>
    <w:rsid w:val="00CB3356"/>
    <w:rsid w:val="00CB72C2"/>
    <w:rsid w:val="00CC076F"/>
    <w:rsid w:val="00CC0C24"/>
    <w:rsid w:val="00CC3AB0"/>
    <w:rsid w:val="00CC4A21"/>
    <w:rsid w:val="00CC5350"/>
    <w:rsid w:val="00CC736F"/>
    <w:rsid w:val="00CC7994"/>
    <w:rsid w:val="00CD33F7"/>
    <w:rsid w:val="00CD5E59"/>
    <w:rsid w:val="00CD64BB"/>
    <w:rsid w:val="00CE24D5"/>
    <w:rsid w:val="00CE27AA"/>
    <w:rsid w:val="00CE381D"/>
    <w:rsid w:val="00CE5490"/>
    <w:rsid w:val="00CE64DA"/>
    <w:rsid w:val="00CE704C"/>
    <w:rsid w:val="00CE7656"/>
    <w:rsid w:val="00CE7981"/>
    <w:rsid w:val="00CF1513"/>
    <w:rsid w:val="00CF2297"/>
    <w:rsid w:val="00CF4CD0"/>
    <w:rsid w:val="00CF63C1"/>
    <w:rsid w:val="00D00AE2"/>
    <w:rsid w:val="00D014C2"/>
    <w:rsid w:val="00D047C6"/>
    <w:rsid w:val="00D049DA"/>
    <w:rsid w:val="00D109E4"/>
    <w:rsid w:val="00D11746"/>
    <w:rsid w:val="00D132D0"/>
    <w:rsid w:val="00D14DD9"/>
    <w:rsid w:val="00D1503B"/>
    <w:rsid w:val="00D21AF7"/>
    <w:rsid w:val="00D24251"/>
    <w:rsid w:val="00D2459B"/>
    <w:rsid w:val="00D248A7"/>
    <w:rsid w:val="00D24E94"/>
    <w:rsid w:val="00D306D5"/>
    <w:rsid w:val="00D358E9"/>
    <w:rsid w:val="00D407B8"/>
    <w:rsid w:val="00D40B51"/>
    <w:rsid w:val="00D411EB"/>
    <w:rsid w:val="00D42820"/>
    <w:rsid w:val="00D43F41"/>
    <w:rsid w:val="00D45089"/>
    <w:rsid w:val="00D46F88"/>
    <w:rsid w:val="00D47C43"/>
    <w:rsid w:val="00D53778"/>
    <w:rsid w:val="00D55DED"/>
    <w:rsid w:val="00D565A5"/>
    <w:rsid w:val="00D565C2"/>
    <w:rsid w:val="00D566AD"/>
    <w:rsid w:val="00D61E2E"/>
    <w:rsid w:val="00D63EAD"/>
    <w:rsid w:val="00D6428E"/>
    <w:rsid w:val="00D65016"/>
    <w:rsid w:val="00D6679B"/>
    <w:rsid w:val="00D72A29"/>
    <w:rsid w:val="00D750E0"/>
    <w:rsid w:val="00D7779E"/>
    <w:rsid w:val="00D8010E"/>
    <w:rsid w:val="00D80685"/>
    <w:rsid w:val="00D81180"/>
    <w:rsid w:val="00D82FC1"/>
    <w:rsid w:val="00D8406B"/>
    <w:rsid w:val="00D9032A"/>
    <w:rsid w:val="00DA1556"/>
    <w:rsid w:val="00DA1B49"/>
    <w:rsid w:val="00DA3346"/>
    <w:rsid w:val="00DA7208"/>
    <w:rsid w:val="00DB49D0"/>
    <w:rsid w:val="00DB6459"/>
    <w:rsid w:val="00DB7ED8"/>
    <w:rsid w:val="00DC045C"/>
    <w:rsid w:val="00DC0839"/>
    <w:rsid w:val="00DC1CA8"/>
    <w:rsid w:val="00DD27A1"/>
    <w:rsid w:val="00DD37EC"/>
    <w:rsid w:val="00DD3F2C"/>
    <w:rsid w:val="00DD449E"/>
    <w:rsid w:val="00DD5EC3"/>
    <w:rsid w:val="00DE1E2E"/>
    <w:rsid w:val="00DE1FAF"/>
    <w:rsid w:val="00DE5DCF"/>
    <w:rsid w:val="00DE724E"/>
    <w:rsid w:val="00DF0FB0"/>
    <w:rsid w:val="00DF2292"/>
    <w:rsid w:val="00E03004"/>
    <w:rsid w:val="00E052C8"/>
    <w:rsid w:val="00E058C2"/>
    <w:rsid w:val="00E06241"/>
    <w:rsid w:val="00E07012"/>
    <w:rsid w:val="00E07870"/>
    <w:rsid w:val="00E10A38"/>
    <w:rsid w:val="00E1118C"/>
    <w:rsid w:val="00E12FEC"/>
    <w:rsid w:val="00E13039"/>
    <w:rsid w:val="00E16A66"/>
    <w:rsid w:val="00E233F0"/>
    <w:rsid w:val="00E24E71"/>
    <w:rsid w:val="00E2512B"/>
    <w:rsid w:val="00E319A7"/>
    <w:rsid w:val="00E32B7D"/>
    <w:rsid w:val="00E33F09"/>
    <w:rsid w:val="00E34220"/>
    <w:rsid w:val="00E36031"/>
    <w:rsid w:val="00E40F1D"/>
    <w:rsid w:val="00E4125B"/>
    <w:rsid w:val="00E4388F"/>
    <w:rsid w:val="00E47EEC"/>
    <w:rsid w:val="00E5108A"/>
    <w:rsid w:val="00E51F82"/>
    <w:rsid w:val="00E53002"/>
    <w:rsid w:val="00E546E6"/>
    <w:rsid w:val="00E55DAA"/>
    <w:rsid w:val="00E575F5"/>
    <w:rsid w:val="00E64C99"/>
    <w:rsid w:val="00E6626D"/>
    <w:rsid w:val="00E71419"/>
    <w:rsid w:val="00E75979"/>
    <w:rsid w:val="00E75A09"/>
    <w:rsid w:val="00E77B0F"/>
    <w:rsid w:val="00E8018B"/>
    <w:rsid w:val="00E837C1"/>
    <w:rsid w:val="00E86B50"/>
    <w:rsid w:val="00E87008"/>
    <w:rsid w:val="00E90CCE"/>
    <w:rsid w:val="00E92E12"/>
    <w:rsid w:val="00E9436E"/>
    <w:rsid w:val="00E952C1"/>
    <w:rsid w:val="00EA4A67"/>
    <w:rsid w:val="00EA6958"/>
    <w:rsid w:val="00EA69E7"/>
    <w:rsid w:val="00EB2E75"/>
    <w:rsid w:val="00EB4165"/>
    <w:rsid w:val="00EB4FF8"/>
    <w:rsid w:val="00EB6EE1"/>
    <w:rsid w:val="00EC0A84"/>
    <w:rsid w:val="00EC0D94"/>
    <w:rsid w:val="00EC2A82"/>
    <w:rsid w:val="00EC3162"/>
    <w:rsid w:val="00EC4656"/>
    <w:rsid w:val="00ED0F82"/>
    <w:rsid w:val="00ED1B80"/>
    <w:rsid w:val="00ED2210"/>
    <w:rsid w:val="00ED626A"/>
    <w:rsid w:val="00ED7B9F"/>
    <w:rsid w:val="00ED7D2F"/>
    <w:rsid w:val="00EE2877"/>
    <w:rsid w:val="00EE6778"/>
    <w:rsid w:val="00EE7985"/>
    <w:rsid w:val="00EF69A3"/>
    <w:rsid w:val="00F00836"/>
    <w:rsid w:val="00F013AC"/>
    <w:rsid w:val="00F04C99"/>
    <w:rsid w:val="00F0762D"/>
    <w:rsid w:val="00F078D4"/>
    <w:rsid w:val="00F105B7"/>
    <w:rsid w:val="00F137D5"/>
    <w:rsid w:val="00F148A3"/>
    <w:rsid w:val="00F14C0E"/>
    <w:rsid w:val="00F16D78"/>
    <w:rsid w:val="00F17189"/>
    <w:rsid w:val="00F204EE"/>
    <w:rsid w:val="00F22AFC"/>
    <w:rsid w:val="00F252D4"/>
    <w:rsid w:val="00F25421"/>
    <w:rsid w:val="00F25B2E"/>
    <w:rsid w:val="00F26DB1"/>
    <w:rsid w:val="00F3060D"/>
    <w:rsid w:val="00F35612"/>
    <w:rsid w:val="00F35BEF"/>
    <w:rsid w:val="00F3645F"/>
    <w:rsid w:val="00F36823"/>
    <w:rsid w:val="00F4239E"/>
    <w:rsid w:val="00F42D7C"/>
    <w:rsid w:val="00F465D2"/>
    <w:rsid w:val="00F47D29"/>
    <w:rsid w:val="00F47D8E"/>
    <w:rsid w:val="00F5112E"/>
    <w:rsid w:val="00F51BAE"/>
    <w:rsid w:val="00F54F5E"/>
    <w:rsid w:val="00F55151"/>
    <w:rsid w:val="00F57C53"/>
    <w:rsid w:val="00F62828"/>
    <w:rsid w:val="00F6409C"/>
    <w:rsid w:val="00F6567D"/>
    <w:rsid w:val="00F7137C"/>
    <w:rsid w:val="00F73354"/>
    <w:rsid w:val="00F74C42"/>
    <w:rsid w:val="00F75813"/>
    <w:rsid w:val="00F77015"/>
    <w:rsid w:val="00F778EE"/>
    <w:rsid w:val="00F84CDE"/>
    <w:rsid w:val="00F8739E"/>
    <w:rsid w:val="00F87D72"/>
    <w:rsid w:val="00F925FA"/>
    <w:rsid w:val="00F930F9"/>
    <w:rsid w:val="00F976DB"/>
    <w:rsid w:val="00FA04F8"/>
    <w:rsid w:val="00FA102E"/>
    <w:rsid w:val="00FA2297"/>
    <w:rsid w:val="00FA4169"/>
    <w:rsid w:val="00FA4EE3"/>
    <w:rsid w:val="00FA508F"/>
    <w:rsid w:val="00FA67B5"/>
    <w:rsid w:val="00FA6B81"/>
    <w:rsid w:val="00FB06AF"/>
    <w:rsid w:val="00FB13BA"/>
    <w:rsid w:val="00FB5467"/>
    <w:rsid w:val="00FB5A3E"/>
    <w:rsid w:val="00FB5E37"/>
    <w:rsid w:val="00FB6F65"/>
    <w:rsid w:val="00FC4327"/>
    <w:rsid w:val="00FC5C34"/>
    <w:rsid w:val="00FC67D8"/>
    <w:rsid w:val="00FD152F"/>
    <w:rsid w:val="00FD37DB"/>
    <w:rsid w:val="00FD7F3A"/>
    <w:rsid w:val="00FE04A9"/>
    <w:rsid w:val="00FE2919"/>
    <w:rsid w:val="00FE2E83"/>
    <w:rsid w:val="00FE6181"/>
    <w:rsid w:val="00FF06E9"/>
    <w:rsid w:val="00FF1728"/>
    <w:rsid w:val="00FF2A8D"/>
    <w:rsid w:val="00FF2CBB"/>
    <w:rsid w:val="00FF3F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BAC33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55E4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A7287A"/>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136C0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5E054B"/>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87FE5"/>
    <w:rPr>
      <w:color w:val="0000FF"/>
      <w:u w:val="single"/>
    </w:rPr>
  </w:style>
  <w:style w:type="character" w:customStyle="1" w:styleId="Heading2Char">
    <w:name w:val="Heading 2 Char"/>
    <w:basedOn w:val="DefaultParagraphFont"/>
    <w:link w:val="Heading2"/>
    <w:uiPriority w:val="9"/>
    <w:rsid w:val="00A7287A"/>
    <w:rPr>
      <w:rFonts w:ascii="Times New Roman" w:eastAsia="Times New Roman" w:hAnsi="Times New Roman" w:cs="Times New Roman"/>
      <w:b/>
      <w:bCs/>
      <w:sz w:val="36"/>
      <w:szCs w:val="36"/>
    </w:rPr>
  </w:style>
  <w:style w:type="character" w:customStyle="1" w:styleId="hgkelc">
    <w:name w:val="hgkelc"/>
    <w:basedOn w:val="DefaultParagraphFont"/>
    <w:rsid w:val="00F6409C"/>
  </w:style>
  <w:style w:type="character" w:customStyle="1" w:styleId="kx21rb">
    <w:name w:val="kx21rb"/>
    <w:basedOn w:val="DefaultParagraphFont"/>
    <w:rsid w:val="00F6409C"/>
  </w:style>
  <w:style w:type="paragraph" w:styleId="NormalWeb">
    <w:name w:val="Normal (Web)"/>
    <w:basedOn w:val="Normal"/>
    <w:uiPriority w:val="99"/>
    <w:unhideWhenUsed/>
    <w:rsid w:val="007C10C0"/>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7C10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10C0"/>
  </w:style>
  <w:style w:type="paragraph" w:styleId="Footer">
    <w:name w:val="footer"/>
    <w:basedOn w:val="Normal"/>
    <w:link w:val="FooterChar"/>
    <w:uiPriority w:val="99"/>
    <w:unhideWhenUsed/>
    <w:rsid w:val="007C10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10C0"/>
  </w:style>
  <w:style w:type="paragraph" w:customStyle="1" w:styleId="c-bibliographic-informationcitation">
    <w:name w:val="c-bibliographic-information__citation"/>
    <w:basedOn w:val="Normal"/>
    <w:rsid w:val="008B46EF"/>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591EC0"/>
    <w:pPr>
      <w:ind w:left="720"/>
      <w:contextualSpacing/>
    </w:pPr>
  </w:style>
  <w:style w:type="character" w:styleId="Strong">
    <w:name w:val="Strong"/>
    <w:basedOn w:val="DefaultParagraphFont"/>
    <w:uiPriority w:val="22"/>
    <w:qFormat/>
    <w:rsid w:val="004C0C41"/>
    <w:rPr>
      <w:b/>
      <w:bCs/>
    </w:rPr>
  </w:style>
  <w:style w:type="character" w:styleId="Emphasis">
    <w:name w:val="Emphasis"/>
    <w:basedOn w:val="DefaultParagraphFont"/>
    <w:uiPriority w:val="20"/>
    <w:qFormat/>
    <w:rsid w:val="001837C9"/>
    <w:rPr>
      <w:i/>
      <w:iCs/>
    </w:rPr>
  </w:style>
  <w:style w:type="character" w:customStyle="1" w:styleId="acopre">
    <w:name w:val="acopre"/>
    <w:basedOn w:val="DefaultParagraphFont"/>
    <w:rsid w:val="00F925FA"/>
  </w:style>
  <w:style w:type="paragraph" w:styleId="NoSpacing">
    <w:name w:val="No Spacing"/>
    <w:uiPriority w:val="1"/>
    <w:qFormat/>
    <w:rsid w:val="00777505"/>
    <w:pPr>
      <w:widowControl w:val="0"/>
      <w:suppressAutoHyphens/>
      <w:autoSpaceDN w:val="0"/>
      <w:spacing w:after="0" w:line="240" w:lineRule="auto"/>
      <w:textAlignment w:val="baseline"/>
    </w:pPr>
    <w:rPr>
      <w:rFonts w:ascii="Cambria" w:eastAsia="SimSun" w:hAnsi="Cambria" w:cs="Tahoma"/>
      <w:kern w:val="3"/>
      <w:sz w:val="24"/>
      <w:szCs w:val="24"/>
    </w:rPr>
  </w:style>
  <w:style w:type="paragraph" w:customStyle="1" w:styleId="Default">
    <w:name w:val="Default"/>
    <w:rsid w:val="00777505"/>
    <w:pPr>
      <w:autoSpaceDE w:val="0"/>
      <w:autoSpaceDN w:val="0"/>
      <w:adjustRightInd w:val="0"/>
      <w:spacing w:after="0" w:line="240" w:lineRule="auto"/>
    </w:pPr>
    <w:rPr>
      <w:rFonts w:ascii="Arial" w:eastAsia="SimSun" w:hAnsi="Arial" w:cs="Arial"/>
      <w:color w:val="000000"/>
      <w:sz w:val="24"/>
      <w:szCs w:val="24"/>
    </w:rPr>
  </w:style>
  <w:style w:type="paragraph" w:customStyle="1" w:styleId="Standard">
    <w:name w:val="Standard"/>
    <w:rsid w:val="00CC076F"/>
    <w:pPr>
      <w:suppressAutoHyphens/>
      <w:autoSpaceDN w:val="0"/>
      <w:spacing w:after="0" w:line="240" w:lineRule="auto"/>
      <w:textAlignment w:val="baseline"/>
    </w:pPr>
    <w:rPr>
      <w:rFonts w:ascii="Cambria" w:eastAsia="SimSun" w:hAnsi="Cambria" w:cs="Tahoma"/>
      <w:kern w:val="3"/>
      <w:sz w:val="24"/>
      <w:szCs w:val="24"/>
    </w:rPr>
  </w:style>
  <w:style w:type="character" w:customStyle="1" w:styleId="crvena">
    <w:name w:val="crvena"/>
    <w:basedOn w:val="DefaultParagraphFont"/>
    <w:rsid w:val="00355BE5"/>
  </w:style>
  <w:style w:type="character" w:customStyle="1" w:styleId="orangel">
    <w:name w:val="orangel"/>
    <w:basedOn w:val="DefaultParagraphFont"/>
    <w:rsid w:val="00355BE5"/>
  </w:style>
  <w:style w:type="character" w:customStyle="1" w:styleId="fc1">
    <w:name w:val="fc1"/>
    <w:basedOn w:val="DefaultParagraphFont"/>
    <w:rsid w:val="00CB321D"/>
  </w:style>
  <w:style w:type="character" w:customStyle="1" w:styleId="ls10">
    <w:name w:val="ls10"/>
    <w:basedOn w:val="DefaultParagraphFont"/>
    <w:rsid w:val="00CB321D"/>
  </w:style>
  <w:style w:type="character" w:customStyle="1" w:styleId="lsc">
    <w:name w:val="lsc"/>
    <w:basedOn w:val="DefaultParagraphFont"/>
    <w:rsid w:val="00CB321D"/>
  </w:style>
  <w:style w:type="character" w:customStyle="1" w:styleId="Heading1Char">
    <w:name w:val="Heading 1 Char"/>
    <w:basedOn w:val="DefaultParagraphFont"/>
    <w:link w:val="Heading1"/>
    <w:uiPriority w:val="9"/>
    <w:rsid w:val="00B55E46"/>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136C0E"/>
    <w:rPr>
      <w:rFonts w:asciiTheme="majorHAnsi" w:eastAsiaTheme="majorEastAsia" w:hAnsiTheme="majorHAnsi" w:cstheme="majorBidi"/>
      <w:color w:val="1F4D78" w:themeColor="accent1" w:themeShade="7F"/>
      <w:sz w:val="24"/>
      <w:szCs w:val="24"/>
    </w:rPr>
  </w:style>
  <w:style w:type="character" w:customStyle="1" w:styleId="nowrap">
    <w:name w:val="nowrap"/>
    <w:basedOn w:val="DefaultParagraphFont"/>
    <w:rsid w:val="00136C0E"/>
  </w:style>
  <w:style w:type="character" w:customStyle="1" w:styleId="mw-headline">
    <w:name w:val="mw-headline"/>
    <w:basedOn w:val="DefaultParagraphFont"/>
    <w:rsid w:val="00136C0E"/>
  </w:style>
  <w:style w:type="character" w:customStyle="1" w:styleId="alt">
    <w:name w:val="alt"/>
    <w:basedOn w:val="DefaultParagraphFont"/>
    <w:rsid w:val="00666AF7"/>
  </w:style>
  <w:style w:type="character" w:styleId="HTMLCite">
    <w:name w:val="HTML Cite"/>
    <w:basedOn w:val="DefaultParagraphFont"/>
    <w:uiPriority w:val="99"/>
    <w:semiHidden/>
    <w:unhideWhenUsed/>
    <w:rsid w:val="00B04D96"/>
    <w:rPr>
      <w:i/>
      <w:iCs/>
    </w:rPr>
  </w:style>
  <w:style w:type="character" w:customStyle="1" w:styleId="reference-accessdate">
    <w:name w:val="reference-accessdate"/>
    <w:basedOn w:val="DefaultParagraphFont"/>
    <w:rsid w:val="00B04D96"/>
  </w:style>
  <w:style w:type="character" w:customStyle="1" w:styleId="mw-cite-backlink">
    <w:name w:val="mw-cite-backlink"/>
    <w:basedOn w:val="DefaultParagraphFont"/>
    <w:rsid w:val="00B04D96"/>
  </w:style>
  <w:style w:type="character" w:customStyle="1" w:styleId="glossarylink">
    <w:name w:val="glossarylink"/>
    <w:basedOn w:val="DefaultParagraphFont"/>
    <w:rsid w:val="009122CB"/>
  </w:style>
  <w:style w:type="paragraph" w:customStyle="1" w:styleId="paragraph">
    <w:name w:val="paragraph"/>
    <w:basedOn w:val="Normal"/>
    <w:rsid w:val="002225B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ss-38z03z">
    <w:name w:val="css-38z03z"/>
    <w:basedOn w:val="Normal"/>
    <w:rsid w:val="00FB13B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mp">
    <w:name w:val="comp"/>
    <w:basedOn w:val="Normal"/>
    <w:rsid w:val="000C18A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semiHidden/>
    <w:rsid w:val="005E054B"/>
    <w:rPr>
      <w:rFonts w:asciiTheme="majorHAnsi" w:eastAsiaTheme="majorEastAsia" w:hAnsiTheme="majorHAnsi" w:cstheme="majorBidi"/>
      <w:i/>
      <w:iCs/>
      <w:color w:val="2E74B5" w:themeColor="accent1" w:themeShade="BF"/>
    </w:rPr>
  </w:style>
  <w:style w:type="character" w:customStyle="1" w:styleId="a">
    <w:name w:val="_"/>
    <w:basedOn w:val="DefaultParagraphFont"/>
    <w:rsid w:val="00904F28"/>
  </w:style>
  <w:style w:type="paragraph" w:customStyle="1" w:styleId="1hzxw">
    <w:name w:val="_1hzxw"/>
    <w:basedOn w:val="Normal"/>
    <w:rsid w:val="00FB5A3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pter-para">
    <w:name w:val="chapter-para"/>
    <w:basedOn w:val="Normal"/>
    <w:rsid w:val="0016785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
    <w:name w:val="p"/>
    <w:basedOn w:val="Normal"/>
    <w:rsid w:val="00BC731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ntarbp">
    <w:name w:val="gnt_ar_b_p"/>
    <w:basedOn w:val="Normal"/>
    <w:rsid w:val="008A0DD3"/>
    <w:pPr>
      <w:spacing w:before="100" w:beforeAutospacing="1" w:after="100" w:afterAutospacing="1" w:line="240" w:lineRule="auto"/>
    </w:pPr>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A115D8"/>
    <w:rPr>
      <w:color w:val="808080"/>
    </w:rPr>
  </w:style>
  <w:style w:type="table" w:styleId="TableGrid">
    <w:name w:val="Table Grid"/>
    <w:basedOn w:val="TableNormal"/>
    <w:uiPriority w:val="39"/>
    <w:rsid w:val="003473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unhideWhenUsed/>
    <w:rsid w:val="009B75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479454">
      <w:bodyDiv w:val="1"/>
      <w:marLeft w:val="0"/>
      <w:marRight w:val="0"/>
      <w:marTop w:val="0"/>
      <w:marBottom w:val="0"/>
      <w:divBdr>
        <w:top w:val="none" w:sz="0" w:space="0" w:color="auto"/>
        <w:left w:val="none" w:sz="0" w:space="0" w:color="auto"/>
        <w:bottom w:val="none" w:sz="0" w:space="0" w:color="auto"/>
        <w:right w:val="none" w:sz="0" w:space="0" w:color="auto"/>
      </w:divBdr>
    </w:div>
    <w:div w:id="28536381">
      <w:bodyDiv w:val="1"/>
      <w:marLeft w:val="0"/>
      <w:marRight w:val="0"/>
      <w:marTop w:val="0"/>
      <w:marBottom w:val="0"/>
      <w:divBdr>
        <w:top w:val="none" w:sz="0" w:space="0" w:color="auto"/>
        <w:left w:val="none" w:sz="0" w:space="0" w:color="auto"/>
        <w:bottom w:val="none" w:sz="0" w:space="0" w:color="auto"/>
        <w:right w:val="none" w:sz="0" w:space="0" w:color="auto"/>
      </w:divBdr>
    </w:div>
    <w:div w:id="251934801">
      <w:bodyDiv w:val="1"/>
      <w:marLeft w:val="0"/>
      <w:marRight w:val="0"/>
      <w:marTop w:val="0"/>
      <w:marBottom w:val="0"/>
      <w:divBdr>
        <w:top w:val="none" w:sz="0" w:space="0" w:color="auto"/>
        <w:left w:val="none" w:sz="0" w:space="0" w:color="auto"/>
        <w:bottom w:val="none" w:sz="0" w:space="0" w:color="auto"/>
        <w:right w:val="none" w:sz="0" w:space="0" w:color="auto"/>
      </w:divBdr>
    </w:div>
    <w:div w:id="278462758">
      <w:bodyDiv w:val="1"/>
      <w:marLeft w:val="0"/>
      <w:marRight w:val="0"/>
      <w:marTop w:val="0"/>
      <w:marBottom w:val="0"/>
      <w:divBdr>
        <w:top w:val="none" w:sz="0" w:space="0" w:color="auto"/>
        <w:left w:val="none" w:sz="0" w:space="0" w:color="auto"/>
        <w:bottom w:val="none" w:sz="0" w:space="0" w:color="auto"/>
        <w:right w:val="none" w:sz="0" w:space="0" w:color="auto"/>
      </w:divBdr>
    </w:div>
    <w:div w:id="306977652">
      <w:bodyDiv w:val="1"/>
      <w:marLeft w:val="0"/>
      <w:marRight w:val="0"/>
      <w:marTop w:val="0"/>
      <w:marBottom w:val="0"/>
      <w:divBdr>
        <w:top w:val="none" w:sz="0" w:space="0" w:color="auto"/>
        <w:left w:val="none" w:sz="0" w:space="0" w:color="auto"/>
        <w:bottom w:val="none" w:sz="0" w:space="0" w:color="auto"/>
        <w:right w:val="none" w:sz="0" w:space="0" w:color="auto"/>
      </w:divBdr>
    </w:div>
    <w:div w:id="609778252">
      <w:bodyDiv w:val="1"/>
      <w:marLeft w:val="0"/>
      <w:marRight w:val="0"/>
      <w:marTop w:val="0"/>
      <w:marBottom w:val="0"/>
      <w:divBdr>
        <w:top w:val="none" w:sz="0" w:space="0" w:color="auto"/>
        <w:left w:val="none" w:sz="0" w:space="0" w:color="auto"/>
        <w:bottom w:val="none" w:sz="0" w:space="0" w:color="auto"/>
        <w:right w:val="none" w:sz="0" w:space="0" w:color="auto"/>
      </w:divBdr>
    </w:div>
    <w:div w:id="666396726">
      <w:bodyDiv w:val="1"/>
      <w:marLeft w:val="0"/>
      <w:marRight w:val="0"/>
      <w:marTop w:val="0"/>
      <w:marBottom w:val="0"/>
      <w:divBdr>
        <w:top w:val="none" w:sz="0" w:space="0" w:color="auto"/>
        <w:left w:val="none" w:sz="0" w:space="0" w:color="auto"/>
        <w:bottom w:val="none" w:sz="0" w:space="0" w:color="auto"/>
        <w:right w:val="none" w:sz="0" w:space="0" w:color="auto"/>
      </w:divBdr>
    </w:div>
    <w:div w:id="750388385">
      <w:bodyDiv w:val="1"/>
      <w:marLeft w:val="0"/>
      <w:marRight w:val="0"/>
      <w:marTop w:val="0"/>
      <w:marBottom w:val="0"/>
      <w:divBdr>
        <w:top w:val="none" w:sz="0" w:space="0" w:color="auto"/>
        <w:left w:val="none" w:sz="0" w:space="0" w:color="auto"/>
        <w:bottom w:val="none" w:sz="0" w:space="0" w:color="auto"/>
        <w:right w:val="none" w:sz="0" w:space="0" w:color="auto"/>
      </w:divBdr>
      <w:divsChild>
        <w:div w:id="1740441182">
          <w:marLeft w:val="0"/>
          <w:marRight w:val="0"/>
          <w:marTop w:val="120"/>
          <w:marBottom w:val="0"/>
          <w:divBdr>
            <w:top w:val="none" w:sz="0" w:space="0" w:color="auto"/>
            <w:left w:val="none" w:sz="0" w:space="0" w:color="auto"/>
            <w:bottom w:val="none" w:sz="0" w:space="0" w:color="auto"/>
            <w:right w:val="none" w:sz="0" w:space="0" w:color="auto"/>
          </w:divBdr>
        </w:div>
        <w:div w:id="1279870339">
          <w:marLeft w:val="0"/>
          <w:marRight w:val="0"/>
          <w:marTop w:val="120"/>
          <w:marBottom w:val="0"/>
          <w:divBdr>
            <w:top w:val="none" w:sz="0" w:space="0" w:color="auto"/>
            <w:left w:val="none" w:sz="0" w:space="0" w:color="auto"/>
            <w:bottom w:val="none" w:sz="0" w:space="0" w:color="auto"/>
            <w:right w:val="none" w:sz="0" w:space="0" w:color="auto"/>
          </w:divBdr>
        </w:div>
        <w:div w:id="1244686481">
          <w:marLeft w:val="0"/>
          <w:marRight w:val="0"/>
          <w:marTop w:val="120"/>
          <w:marBottom w:val="0"/>
          <w:divBdr>
            <w:top w:val="none" w:sz="0" w:space="0" w:color="auto"/>
            <w:left w:val="none" w:sz="0" w:space="0" w:color="auto"/>
            <w:bottom w:val="none" w:sz="0" w:space="0" w:color="auto"/>
            <w:right w:val="none" w:sz="0" w:space="0" w:color="auto"/>
          </w:divBdr>
        </w:div>
        <w:div w:id="437412665">
          <w:marLeft w:val="0"/>
          <w:marRight w:val="0"/>
          <w:marTop w:val="120"/>
          <w:marBottom w:val="0"/>
          <w:divBdr>
            <w:top w:val="none" w:sz="0" w:space="0" w:color="auto"/>
            <w:left w:val="none" w:sz="0" w:space="0" w:color="auto"/>
            <w:bottom w:val="none" w:sz="0" w:space="0" w:color="auto"/>
            <w:right w:val="none" w:sz="0" w:space="0" w:color="auto"/>
          </w:divBdr>
        </w:div>
      </w:divsChild>
    </w:div>
    <w:div w:id="923342103">
      <w:bodyDiv w:val="1"/>
      <w:marLeft w:val="0"/>
      <w:marRight w:val="0"/>
      <w:marTop w:val="0"/>
      <w:marBottom w:val="0"/>
      <w:divBdr>
        <w:top w:val="none" w:sz="0" w:space="0" w:color="auto"/>
        <w:left w:val="none" w:sz="0" w:space="0" w:color="auto"/>
        <w:bottom w:val="none" w:sz="0" w:space="0" w:color="auto"/>
        <w:right w:val="none" w:sz="0" w:space="0" w:color="auto"/>
      </w:divBdr>
    </w:div>
    <w:div w:id="1060203295">
      <w:bodyDiv w:val="1"/>
      <w:marLeft w:val="0"/>
      <w:marRight w:val="0"/>
      <w:marTop w:val="0"/>
      <w:marBottom w:val="0"/>
      <w:divBdr>
        <w:top w:val="none" w:sz="0" w:space="0" w:color="auto"/>
        <w:left w:val="none" w:sz="0" w:space="0" w:color="auto"/>
        <w:bottom w:val="none" w:sz="0" w:space="0" w:color="auto"/>
        <w:right w:val="none" w:sz="0" w:space="0" w:color="auto"/>
      </w:divBdr>
    </w:div>
    <w:div w:id="1262641464">
      <w:bodyDiv w:val="1"/>
      <w:marLeft w:val="0"/>
      <w:marRight w:val="0"/>
      <w:marTop w:val="0"/>
      <w:marBottom w:val="0"/>
      <w:divBdr>
        <w:top w:val="none" w:sz="0" w:space="0" w:color="auto"/>
        <w:left w:val="none" w:sz="0" w:space="0" w:color="auto"/>
        <w:bottom w:val="none" w:sz="0" w:space="0" w:color="auto"/>
        <w:right w:val="none" w:sz="0" w:space="0" w:color="auto"/>
      </w:divBdr>
    </w:div>
    <w:div w:id="1376001960">
      <w:bodyDiv w:val="1"/>
      <w:marLeft w:val="0"/>
      <w:marRight w:val="0"/>
      <w:marTop w:val="0"/>
      <w:marBottom w:val="0"/>
      <w:divBdr>
        <w:top w:val="none" w:sz="0" w:space="0" w:color="auto"/>
        <w:left w:val="none" w:sz="0" w:space="0" w:color="auto"/>
        <w:bottom w:val="none" w:sz="0" w:space="0" w:color="auto"/>
        <w:right w:val="none" w:sz="0" w:space="0" w:color="auto"/>
      </w:divBdr>
    </w:div>
    <w:div w:id="1557938131">
      <w:bodyDiv w:val="1"/>
      <w:marLeft w:val="0"/>
      <w:marRight w:val="0"/>
      <w:marTop w:val="0"/>
      <w:marBottom w:val="0"/>
      <w:divBdr>
        <w:top w:val="none" w:sz="0" w:space="0" w:color="auto"/>
        <w:left w:val="none" w:sz="0" w:space="0" w:color="auto"/>
        <w:bottom w:val="none" w:sz="0" w:space="0" w:color="auto"/>
        <w:right w:val="none" w:sz="0" w:space="0" w:color="auto"/>
      </w:divBdr>
    </w:div>
    <w:div w:id="1710180446">
      <w:bodyDiv w:val="1"/>
      <w:marLeft w:val="0"/>
      <w:marRight w:val="0"/>
      <w:marTop w:val="0"/>
      <w:marBottom w:val="0"/>
      <w:divBdr>
        <w:top w:val="none" w:sz="0" w:space="0" w:color="auto"/>
        <w:left w:val="none" w:sz="0" w:space="0" w:color="auto"/>
        <w:bottom w:val="none" w:sz="0" w:space="0" w:color="auto"/>
        <w:right w:val="none" w:sz="0" w:space="0" w:color="auto"/>
      </w:divBdr>
    </w:div>
    <w:div w:id="1805001864">
      <w:bodyDiv w:val="1"/>
      <w:marLeft w:val="0"/>
      <w:marRight w:val="0"/>
      <w:marTop w:val="0"/>
      <w:marBottom w:val="0"/>
      <w:divBdr>
        <w:top w:val="none" w:sz="0" w:space="0" w:color="auto"/>
        <w:left w:val="none" w:sz="0" w:space="0" w:color="auto"/>
        <w:bottom w:val="none" w:sz="0" w:space="0" w:color="auto"/>
        <w:right w:val="none" w:sz="0" w:space="0" w:color="auto"/>
      </w:divBdr>
    </w:div>
    <w:div w:id="1941833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nionPro-Regular">
    <w:altName w:val="SimSun"/>
    <w:panose1 w:val="00000000000000000000"/>
    <w:charset w:val="86"/>
    <w:family w:val="roman"/>
    <w:notTrueType/>
    <w:pitch w:val="default"/>
    <w:sig w:usb0="00000001" w:usb1="080E0000" w:usb2="00000010" w:usb3="00000000" w:csb0="00040000" w:csb1="00000000"/>
  </w:font>
  <w:font w:name="Calibri">
    <w:panose1 w:val="020F0502020204030204"/>
    <w:charset w:val="00"/>
    <w:family w:val="swiss"/>
    <w:pitch w:val="variable"/>
    <w:sig w:usb0="E00002FF" w:usb1="4000ACFF" w:usb2="00000001" w:usb3="00000000" w:csb0="0000019F" w:csb1="00000000"/>
  </w:font>
  <w:font w:name="Calibri Light">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25B2"/>
    <w:rsid w:val="001F26FC"/>
    <w:rsid w:val="00347E63"/>
    <w:rsid w:val="005A5DA4"/>
    <w:rsid w:val="009D03F5"/>
    <w:rsid w:val="00D01EB7"/>
    <w:rsid w:val="00DF25B2"/>
    <w:rsid w:val="00FA11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01EB7"/>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Bor14</b:Tag>
    <b:SourceType>JournalArticle</b:SourceType>
    <b:Guid>{9FED8358-6A0F-441D-93FC-B991482FBC47}</b:Guid>
    <b:Title>The impact of financial ratios on the financial performance of a chemical company</b:Title>
    <b:Year>2014</b:Year>
    <b:Author>
      <b:Author>
        <b:NameList>
          <b:Person>
            <b:Last>Borhan</b:Last>
            <b:First>Halimahton</b:First>
          </b:Person>
          <b:Person>
            <b:Last>Mohamed</b:Last>
            <b:First>Rozita</b:First>
            <b:Middle>Naina</b:Middle>
          </b:Person>
          <b:Person>
            <b:Last>Azmi</b:Last>
            <b:First>Nurnafisah</b:First>
          </b:Person>
        </b:NameList>
      </b:Author>
    </b:Author>
    <b:JournalName>World Journal of Entrepreneurship Management and Sustainable Development</b:JournalName>
    <b:Pages>154-160</b:Pages>
    <b:Volume>10</b:Volume>
    <b:Issue>2</b:Issue>
    <b:URL>https://www.researchgate.net/publication/270036469_The_impact_of_financial_ratios_on_the_financial_performance_of_a_chemical_company</b:URL>
    <b:DOI>10.1108/WJEMSD-07-2013-0041</b:DOI>
    <b:RefOrder>1</b:RefOrder>
  </b:Source>
  <b:Source>
    <b:Tag>Kha19</b:Tag>
    <b:SourceType>JournalArticle</b:SourceType>
    <b:Guid>{F8E112EE-92E4-41D1-8955-E109FFC52A06}</b:Guid>
    <b:Author>
      <b:Author>
        <b:NameList>
          <b:Person>
            <b:Last>Khan</b:Last>
            <b:First>Muhammad</b:First>
            <b:Middle>Irfan</b:Middle>
          </b:Person>
        </b:NameList>
      </b:Author>
    </b:Author>
    <b:Title>Re-Classification of Financial Ratios</b:Title>
    <b:JournalName>Conference: ICBSI 2018 - International Conference on Business Sustainability and Innovation</b:JournalName>
    <b:Year>2019</b:Year>
    <b:DOI>10.15405/epsbs.2019.08.4</b:DOI>
    <b:RefOrder>2</b:RefOrder>
  </b:Source>
  <b:Source>
    <b:Tag>Bar06</b:Tag>
    <b:SourceType>JournalArticle</b:SourceType>
    <b:Guid>{0552C66D-7548-4FE2-B0E1-0331B88EB7E5}</b:Guid>
    <b:Author>
      <b:Author>
        <b:NameList>
          <b:Person>
            <b:Last>Barnes</b:Last>
            <b:First>Paul</b:First>
            <b:Middle>anthony</b:Middle>
          </b:Person>
        </b:NameList>
      </b:Author>
    </b:Author>
    <b:Title>The Analysis and Use of Financial Ratios: A Review Article</b:Title>
    <b:JournalName>Journal of Business Finance &amp; Accounting</b:JournalName>
    <b:Year>2006</b:Year>
    <b:Pages>449-461</b:Pages>
    <b:Volume>14</b:Volume>
    <b:Issue>4</b:Issue>
    <b:URL>https://www.researchgate.net/publication/229579403_The_Analysis_and_Use_of_Financial_Ratios_A_Review_Article</b:URL>
    <b:DOI>10.1111/j.1468-5957.1987.tb00106.x</b:DOI>
    <b:RefOrder>3</b:RefOrder>
  </b:Source>
  <b:Source>
    <b:Tag>LiJ19</b:Tag>
    <b:SourceType>JournalArticle</b:SourceType>
    <b:Guid>{BA33C1E0-5F2F-4236-AD59-F9C0F341652B}</b:Guid>
    <b:Author>
      <b:Author>
        <b:NameList>
          <b:Person>
            <b:Last>Li</b:Last>
            <b:First>Jun</b:First>
          </b:Person>
        </b:NameList>
      </b:Author>
    </b:Author>
    <b:Title>Research on Limitations of Financial Statement Analysis: Based on Data of Listed Companies</b:Title>
    <b:Year>2019</b:Year>
    <b:DOI>DOI: 10.2991/aebmr.k.191225.066</b:DOI>
    <b:RefOrder>4</b:RefOrder>
  </b:Source>
</b:Sources>
</file>

<file path=customXml/itemProps1.xml><?xml version="1.0" encoding="utf-8"?>
<ds:datastoreItem xmlns:ds="http://schemas.openxmlformats.org/officeDocument/2006/customXml" ds:itemID="{BBDA2F5E-307D-4571-A904-C18337DB65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2638</Words>
  <Characters>15043</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2020-10-25T07:02:00Z</dcterms:created>
  <dcterms:modified xsi:type="dcterms:W3CDTF">2020-10-26T00:35:00Z</dcterms:modified>
</cp:coreProperties>
</file>